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AAB" w:rsidRPr="003C12C5" w:rsidRDefault="003C12C5" w:rsidP="003C12C5">
      <w:pPr>
        <w:spacing w:after="0" w:line="240" w:lineRule="auto"/>
        <w:jc w:val="center"/>
        <w:rPr>
          <w:b/>
          <w:sz w:val="28"/>
          <w:szCs w:val="28"/>
        </w:rPr>
      </w:pPr>
      <w:bookmarkStart w:id="0" w:name="_GoBack"/>
      <w:bookmarkEnd w:id="0"/>
      <w:r w:rsidRPr="003C12C5">
        <w:rPr>
          <w:b/>
          <w:sz w:val="28"/>
          <w:szCs w:val="28"/>
        </w:rPr>
        <w:t>Meeting report</w:t>
      </w:r>
    </w:p>
    <w:p w:rsidR="003C12C5" w:rsidRPr="003C12C5" w:rsidRDefault="003C12C5" w:rsidP="003C12C5">
      <w:pPr>
        <w:spacing w:after="0" w:line="240" w:lineRule="auto"/>
        <w:jc w:val="center"/>
        <w:rPr>
          <w:b/>
          <w:sz w:val="28"/>
          <w:szCs w:val="28"/>
        </w:rPr>
      </w:pPr>
      <w:r w:rsidRPr="003C12C5">
        <w:rPr>
          <w:b/>
          <w:sz w:val="28"/>
          <w:szCs w:val="28"/>
        </w:rPr>
        <w:t>UK BMT Pharmacist Forum, Birmingham 10</w:t>
      </w:r>
      <w:r w:rsidRPr="003C12C5">
        <w:rPr>
          <w:b/>
          <w:sz w:val="28"/>
          <w:szCs w:val="28"/>
          <w:vertAlign w:val="superscript"/>
        </w:rPr>
        <w:t>th</w:t>
      </w:r>
      <w:r w:rsidRPr="003C12C5">
        <w:rPr>
          <w:b/>
          <w:sz w:val="28"/>
          <w:szCs w:val="28"/>
        </w:rPr>
        <w:t xml:space="preserve"> November 2017</w:t>
      </w:r>
    </w:p>
    <w:p w:rsidR="003C12C5" w:rsidRDefault="00C32798" w:rsidP="003C12C5">
      <w:pPr>
        <w:spacing w:after="0" w:line="240" w:lineRule="auto"/>
        <w:jc w:val="center"/>
        <w:rPr>
          <w:b/>
          <w:sz w:val="28"/>
          <w:szCs w:val="28"/>
        </w:rPr>
      </w:pPr>
      <w:r>
        <w:rPr>
          <w:b/>
          <w:sz w:val="28"/>
          <w:szCs w:val="28"/>
        </w:rPr>
        <w:t>_____________________</w:t>
      </w:r>
    </w:p>
    <w:p w:rsidR="00C770BB" w:rsidRDefault="00C770BB" w:rsidP="00C770BB">
      <w:pPr>
        <w:spacing w:after="0" w:line="240" w:lineRule="auto"/>
        <w:jc w:val="both"/>
        <w:rPr>
          <w:sz w:val="24"/>
          <w:szCs w:val="24"/>
        </w:rPr>
      </w:pPr>
    </w:p>
    <w:p w:rsidR="00C32798" w:rsidRDefault="00C770BB" w:rsidP="00C770BB">
      <w:pPr>
        <w:spacing w:after="0" w:line="240" w:lineRule="auto"/>
        <w:jc w:val="both"/>
        <w:rPr>
          <w:sz w:val="24"/>
          <w:szCs w:val="24"/>
        </w:rPr>
      </w:pPr>
      <w:r>
        <w:rPr>
          <w:sz w:val="24"/>
          <w:szCs w:val="24"/>
        </w:rPr>
        <w:t>The second meeting of the UK BMT Pharmacist Forum took place in Birmingham on Friday 10</w:t>
      </w:r>
      <w:r w:rsidRPr="00C770BB">
        <w:rPr>
          <w:sz w:val="24"/>
          <w:szCs w:val="24"/>
          <w:vertAlign w:val="superscript"/>
        </w:rPr>
        <w:t>th</w:t>
      </w:r>
      <w:r>
        <w:rPr>
          <w:sz w:val="24"/>
          <w:szCs w:val="24"/>
        </w:rPr>
        <w:t xml:space="preserve"> November 2017.  Approximately 14 pharmacists from a cross section of UK transplant centres attended.  Sponsorship was very kindly provided by Jazz Pharmaceuticals.  The following sessions took place……………</w:t>
      </w:r>
    </w:p>
    <w:p w:rsidR="00C770BB" w:rsidRDefault="00C770BB" w:rsidP="00C770BB">
      <w:pPr>
        <w:spacing w:after="0" w:line="240" w:lineRule="auto"/>
        <w:jc w:val="both"/>
        <w:rPr>
          <w:sz w:val="24"/>
          <w:szCs w:val="24"/>
        </w:rPr>
      </w:pPr>
    </w:p>
    <w:p w:rsidR="000F506A" w:rsidRPr="00C770BB" w:rsidRDefault="000F506A" w:rsidP="00C770BB">
      <w:pPr>
        <w:spacing w:after="0" w:line="240" w:lineRule="auto"/>
        <w:jc w:val="both"/>
        <w:rPr>
          <w:sz w:val="24"/>
          <w:szCs w:val="24"/>
        </w:rPr>
      </w:pPr>
    </w:p>
    <w:p w:rsidR="00ED7AAB" w:rsidRPr="00AE6CD7" w:rsidRDefault="00ED7AAB" w:rsidP="00C32798">
      <w:pPr>
        <w:spacing w:after="0" w:line="240" w:lineRule="auto"/>
        <w:rPr>
          <w:rFonts w:eastAsia="Calibri" w:cs="Times New Roman"/>
          <w:b/>
          <w:bCs/>
          <w:sz w:val="28"/>
          <w:szCs w:val="32"/>
        </w:rPr>
      </w:pPr>
      <w:r w:rsidRPr="00AE6CD7">
        <w:rPr>
          <w:rFonts w:eastAsia="Calibri" w:cs="Times New Roman"/>
          <w:b/>
          <w:bCs/>
          <w:sz w:val="28"/>
          <w:szCs w:val="32"/>
        </w:rPr>
        <w:t>BOPA Update</w:t>
      </w:r>
    </w:p>
    <w:p w:rsidR="00ED7AAB" w:rsidRPr="005C16B7" w:rsidRDefault="00ED7AAB" w:rsidP="00C32798">
      <w:pPr>
        <w:spacing w:after="0" w:line="240" w:lineRule="auto"/>
        <w:rPr>
          <w:sz w:val="24"/>
          <w:szCs w:val="28"/>
          <w:lang w:eastAsia="en-GB"/>
        </w:rPr>
      </w:pPr>
      <w:r w:rsidRPr="00AE6CD7">
        <w:rPr>
          <w:bCs/>
          <w:sz w:val="24"/>
          <w:szCs w:val="28"/>
          <w:lang w:eastAsia="en-GB"/>
        </w:rPr>
        <w:t>Nadjoua Maouche</w:t>
      </w:r>
      <w:r w:rsidR="005C16B7">
        <w:rPr>
          <w:sz w:val="24"/>
          <w:szCs w:val="28"/>
          <w:lang w:eastAsia="en-GB"/>
        </w:rPr>
        <w:t>.</w:t>
      </w:r>
      <w:r w:rsidRPr="00AE6CD7">
        <w:rPr>
          <w:sz w:val="24"/>
          <w:szCs w:val="28"/>
          <w:lang w:eastAsia="en-GB"/>
        </w:rPr>
        <w:t xml:space="preserve"> </w:t>
      </w:r>
      <w:r w:rsidRPr="00AE6CD7">
        <w:rPr>
          <w:bCs/>
          <w:sz w:val="24"/>
          <w:szCs w:val="28"/>
          <w:lang w:eastAsia="en-GB"/>
        </w:rPr>
        <w:t xml:space="preserve">Lead Pharmacist for Adult </w:t>
      </w:r>
      <w:proofErr w:type="spellStart"/>
      <w:r w:rsidRPr="00AE6CD7">
        <w:rPr>
          <w:bCs/>
          <w:sz w:val="24"/>
          <w:szCs w:val="28"/>
          <w:lang w:eastAsia="en-GB"/>
        </w:rPr>
        <w:t>Haematology</w:t>
      </w:r>
      <w:r w:rsidR="005C16B7">
        <w:rPr>
          <w:bCs/>
          <w:sz w:val="24"/>
          <w:szCs w:val="28"/>
          <w:lang w:eastAsia="en-GB"/>
        </w:rPr>
        <w:t>,</w:t>
      </w:r>
      <w:proofErr w:type="gramStart"/>
      <w:r w:rsidR="005C16B7">
        <w:rPr>
          <w:color w:val="FFFFFF" w:themeColor="background1"/>
          <w:sz w:val="24"/>
          <w:szCs w:val="28"/>
          <w:lang w:eastAsia="en-GB"/>
        </w:rPr>
        <w:t>,</w:t>
      </w:r>
      <w:r w:rsidRPr="00AE6CD7">
        <w:rPr>
          <w:sz w:val="24"/>
          <w:szCs w:val="28"/>
          <w:lang w:eastAsia="en-GB"/>
        </w:rPr>
        <w:t>Oxford</w:t>
      </w:r>
      <w:proofErr w:type="spellEnd"/>
      <w:proofErr w:type="gramEnd"/>
      <w:r w:rsidRPr="00AE6CD7">
        <w:rPr>
          <w:sz w:val="24"/>
          <w:szCs w:val="28"/>
          <w:lang w:eastAsia="en-GB"/>
        </w:rPr>
        <w:t xml:space="preserve"> University Hospitals NHS Found</w:t>
      </w:r>
      <w:r>
        <w:rPr>
          <w:sz w:val="24"/>
          <w:szCs w:val="28"/>
          <w:lang w:eastAsia="en-GB"/>
        </w:rPr>
        <w:t>ation Trust</w:t>
      </w:r>
      <w:r w:rsidRPr="00AE6CD7">
        <w:rPr>
          <w:rFonts w:eastAsia="Calibri" w:cs="Times New Roman"/>
          <w:sz w:val="28"/>
          <w:szCs w:val="32"/>
        </w:rPr>
        <w:t xml:space="preserve">                                 </w:t>
      </w:r>
    </w:p>
    <w:p w:rsidR="00ED7AAB" w:rsidRDefault="00ED7AAB" w:rsidP="00C32798">
      <w:pPr>
        <w:spacing w:after="0" w:line="240" w:lineRule="auto"/>
        <w:rPr>
          <w:rFonts w:eastAsia="Calibri" w:cs="Times New Roman"/>
          <w:sz w:val="28"/>
          <w:szCs w:val="32"/>
        </w:rPr>
      </w:pPr>
    </w:p>
    <w:p w:rsidR="00C770BB" w:rsidRDefault="00C770BB" w:rsidP="00C32798">
      <w:pPr>
        <w:spacing w:after="0" w:line="240" w:lineRule="auto"/>
        <w:rPr>
          <w:rFonts w:eastAsia="Calibri" w:cs="Times New Roman"/>
          <w:sz w:val="24"/>
          <w:szCs w:val="24"/>
        </w:rPr>
      </w:pPr>
      <w:r w:rsidRPr="00C770BB">
        <w:rPr>
          <w:rFonts w:eastAsia="Calibri" w:cs="Times New Roman"/>
          <w:sz w:val="24"/>
          <w:szCs w:val="24"/>
        </w:rPr>
        <w:t xml:space="preserve">Nadjoua </w:t>
      </w:r>
      <w:r>
        <w:rPr>
          <w:rFonts w:eastAsia="Calibri" w:cs="Times New Roman"/>
          <w:sz w:val="24"/>
          <w:szCs w:val="24"/>
        </w:rPr>
        <w:t>Maouche provided an e</w:t>
      </w:r>
      <w:r w:rsidR="000F506A">
        <w:rPr>
          <w:rFonts w:eastAsia="Calibri" w:cs="Times New Roman"/>
          <w:sz w:val="24"/>
          <w:szCs w:val="24"/>
        </w:rPr>
        <w:t>xcellent overview of</w:t>
      </w:r>
      <w:r>
        <w:rPr>
          <w:rFonts w:eastAsia="Calibri" w:cs="Times New Roman"/>
          <w:sz w:val="24"/>
          <w:szCs w:val="24"/>
        </w:rPr>
        <w:t xml:space="preserve"> key highlights of the recent BOPA meeting in Glasgow.</w:t>
      </w:r>
      <w:r w:rsidR="000F506A">
        <w:rPr>
          <w:rFonts w:eastAsia="Calibri" w:cs="Times New Roman"/>
          <w:sz w:val="24"/>
          <w:szCs w:val="24"/>
        </w:rPr>
        <w:t xml:space="preserve">  Some important</w:t>
      </w:r>
      <w:r w:rsidR="00074E84">
        <w:rPr>
          <w:rFonts w:eastAsia="Calibri" w:cs="Times New Roman"/>
          <w:sz w:val="24"/>
          <w:szCs w:val="24"/>
        </w:rPr>
        <w:t xml:space="preserve"> take home messages are summarised below:</w:t>
      </w:r>
    </w:p>
    <w:p w:rsidR="00074E84" w:rsidRDefault="00074E84" w:rsidP="00C32798">
      <w:pPr>
        <w:spacing w:after="0" w:line="240" w:lineRule="auto"/>
        <w:rPr>
          <w:rFonts w:eastAsia="Calibri" w:cs="Times New Roman"/>
          <w:sz w:val="24"/>
          <w:szCs w:val="24"/>
        </w:rPr>
      </w:pPr>
    </w:p>
    <w:p w:rsidR="00074E84" w:rsidRDefault="00074E84" w:rsidP="00C32798">
      <w:pPr>
        <w:spacing w:after="0" w:line="240" w:lineRule="auto"/>
        <w:rPr>
          <w:rFonts w:eastAsia="Calibri" w:cs="Times New Roman"/>
          <w:sz w:val="24"/>
          <w:szCs w:val="24"/>
        </w:rPr>
      </w:pPr>
      <w:r>
        <w:rPr>
          <w:rFonts w:eastAsia="Calibri" w:cs="Times New Roman"/>
          <w:sz w:val="24"/>
          <w:szCs w:val="24"/>
        </w:rPr>
        <w:t>Biosimilar session</w:t>
      </w:r>
      <w:r w:rsidR="007F1D70">
        <w:rPr>
          <w:rFonts w:eastAsia="Calibri" w:cs="Times New Roman"/>
          <w:sz w:val="24"/>
          <w:szCs w:val="24"/>
        </w:rPr>
        <w:t xml:space="preserve"> – switch to biosimilar rituximab is delivering savings to NHS England in the region of £3,000,000/month!</w:t>
      </w:r>
      <w:r w:rsidR="000F506A">
        <w:rPr>
          <w:rFonts w:eastAsia="Calibri" w:cs="Times New Roman"/>
          <w:sz w:val="24"/>
          <w:szCs w:val="24"/>
        </w:rPr>
        <w:t xml:space="preserve">  Some debate still as to whether rapid inf</w:t>
      </w:r>
      <w:r w:rsidR="00AE19AA">
        <w:rPr>
          <w:rFonts w:eastAsia="Calibri" w:cs="Times New Roman"/>
          <w:sz w:val="24"/>
          <w:szCs w:val="24"/>
        </w:rPr>
        <w:t>usion schedules are OK for bios</w:t>
      </w:r>
      <w:r w:rsidR="000F506A">
        <w:rPr>
          <w:rFonts w:eastAsia="Calibri" w:cs="Times New Roman"/>
          <w:sz w:val="24"/>
          <w:szCs w:val="24"/>
        </w:rPr>
        <w:t>imilar</w:t>
      </w:r>
      <w:r w:rsidR="00AE19AA">
        <w:rPr>
          <w:rFonts w:eastAsia="Calibri" w:cs="Times New Roman"/>
          <w:sz w:val="24"/>
          <w:szCs w:val="24"/>
        </w:rPr>
        <w:t xml:space="preserve"> – Calum </w:t>
      </w:r>
      <w:proofErr w:type="spellStart"/>
      <w:r w:rsidR="00AE19AA">
        <w:rPr>
          <w:rFonts w:eastAsia="Calibri" w:cs="Times New Roman"/>
          <w:sz w:val="24"/>
          <w:szCs w:val="24"/>
        </w:rPr>
        <w:t>Polwart</w:t>
      </w:r>
      <w:proofErr w:type="spellEnd"/>
      <w:r w:rsidR="00AE19AA">
        <w:rPr>
          <w:rFonts w:eastAsia="Calibri" w:cs="Times New Roman"/>
          <w:sz w:val="24"/>
          <w:szCs w:val="24"/>
        </w:rPr>
        <w:t xml:space="preserve"> is trying to develop a national data collection tool to encourage collaborative working in terms of co</w:t>
      </w:r>
      <w:r w:rsidR="00E119A4">
        <w:rPr>
          <w:rFonts w:eastAsia="Calibri" w:cs="Times New Roman"/>
          <w:sz w:val="24"/>
          <w:szCs w:val="24"/>
        </w:rPr>
        <w:t>llecting audit data</w:t>
      </w:r>
      <w:r w:rsidR="000F506A">
        <w:rPr>
          <w:rFonts w:eastAsia="Calibri" w:cs="Times New Roman"/>
          <w:sz w:val="24"/>
          <w:szCs w:val="24"/>
        </w:rPr>
        <w:t>.  Interestingly, most attendees at the forum are following the 90 minute rapid-infusion schedule.</w:t>
      </w:r>
    </w:p>
    <w:p w:rsidR="007F1D70" w:rsidRDefault="007F1D70" w:rsidP="00C32798">
      <w:pPr>
        <w:spacing w:after="0" w:line="240" w:lineRule="auto"/>
        <w:rPr>
          <w:rFonts w:eastAsia="Calibri" w:cs="Times New Roman"/>
          <w:sz w:val="24"/>
          <w:szCs w:val="24"/>
        </w:rPr>
      </w:pPr>
    </w:p>
    <w:p w:rsidR="007F1D70" w:rsidRDefault="00AE19AA" w:rsidP="00C32798">
      <w:pPr>
        <w:spacing w:after="0" w:line="240" w:lineRule="auto"/>
        <w:rPr>
          <w:rFonts w:eastAsia="Calibri" w:cs="Times New Roman"/>
          <w:sz w:val="24"/>
          <w:szCs w:val="24"/>
        </w:rPr>
      </w:pPr>
      <w:r>
        <w:rPr>
          <w:rFonts w:eastAsia="Calibri" w:cs="Times New Roman"/>
          <w:sz w:val="24"/>
          <w:szCs w:val="24"/>
        </w:rPr>
        <w:t xml:space="preserve">CAR-T cells - </w:t>
      </w:r>
      <w:proofErr w:type="spellStart"/>
      <w:r>
        <w:rPr>
          <w:rFonts w:eastAsia="Calibri" w:cs="Times New Roman"/>
          <w:sz w:val="24"/>
          <w:szCs w:val="24"/>
        </w:rPr>
        <w:t>Kymriah</w:t>
      </w:r>
      <w:proofErr w:type="spellEnd"/>
      <w:r>
        <w:rPr>
          <w:rFonts w:eastAsia="Calibri" w:cs="Times New Roman"/>
          <w:sz w:val="24"/>
          <w:szCs w:val="24"/>
        </w:rPr>
        <w:t xml:space="preserve"> (anti-</w:t>
      </w:r>
      <w:r w:rsidR="007F1D70">
        <w:rPr>
          <w:rFonts w:eastAsia="Calibri" w:cs="Times New Roman"/>
          <w:sz w:val="24"/>
          <w:szCs w:val="24"/>
        </w:rPr>
        <w:t xml:space="preserve">CD19) has now received FDA approval for ALL but at a cost in the region of $475,000.  There are currently 164 trials of CAR-T therapy open </w:t>
      </w:r>
      <w:r w:rsidR="000F506A">
        <w:rPr>
          <w:rFonts w:eastAsia="Calibri" w:cs="Times New Roman"/>
          <w:sz w:val="24"/>
          <w:szCs w:val="24"/>
        </w:rPr>
        <w:t>worldwide, with</w:t>
      </w:r>
      <w:r w:rsidR="007F1D70">
        <w:rPr>
          <w:rFonts w:eastAsia="Calibri" w:cs="Times New Roman"/>
          <w:sz w:val="24"/>
          <w:szCs w:val="24"/>
        </w:rPr>
        <w:t xml:space="preserve"> 6 in the UK.  Cytokine release syndrome appears to be a very serious toxicity but can potentially be managed with </w:t>
      </w:r>
      <w:proofErr w:type="spellStart"/>
      <w:r w:rsidR="007F1D70">
        <w:rPr>
          <w:rFonts w:eastAsia="Calibri" w:cs="Times New Roman"/>
          <w:sz w:val="24"/>
          <w:szCs w:val="24"/>
        </w:rPr>
        <w:t>tociluzumab</w:t>
      </w:r>
      <w:proofErr w:type="spellEnd"/>
      <w:r w:rsidR="007F1D70">
        <w:rPr>
          <w:rFonts w:eastAsia="Calibri" w:cs="Times New Roman"/>
          <w:sz w:val="24"/>
          <w:szCs w:val="24"/>
        </w:rPr>
        <w:t>.</w:t>
      </w:r>
    </w:p>
    <w:p w:rsidR="008523EB" w:rsidRDefault="008523EB" w:rsidP="00C32798">
      <w:pPr>
        <w:spacing w:after="0" w:line="240" w:lineRule="auto"/>
        <w:rPr>
          <w:rFonts w:eastAsia="Calibri" w:cs="Times New Roman"/>
          <w:sz w:val="24"/>
          <w:szCs w:val="24"/>
        </w:rPr>
      </w:pPr>
    </w:p>
    <w:p w:rsidR="007F1D70" w:rsidRDefault="007F1D70" w:rsidP="00C32798">
      <w:pPr>
        <w:spacing w:after="0" w:line="240" w:lineRule="auto"/>
        <w:rPr>
          <w:rFonts w:eastAsia="Calibri" w:cs="Times New Roman"/>
          <w:sz w:val="24"/>
          <w:szCs w:val="24"/>
        </w:rPr>
      </w:pPr>
      <w:r>
        <w:rPr>
          <w:rFonts w:eastAsia="Calibri" w:cs="Times New Roman"/>
          <w:sz w:val="24"/>
          <w:szCs w:val="24"/>
        </w:rPr>
        <w:t>In terms of notable abstracts, there were 2 po</w:t>
      </w:r>
      <w:r w:rsidR="00AE19AA">
        <w:rPr>
          <w:rFonts w:eastAsia="Calibri" w:cs="Times New Roman"/>
          <w:sz w:val="24"/>
          <w:szCs w:val="24"/>
        </w:rPr>
        <w:t>sters (</w:t>
      </w:r>
      <w:proofErr w:type="spellStart"/>
      <w:r w:rsidR="00AE19AA">
        <w:rPr>
          <w:rFonts w:eastAsia="Calibri" w:cs="Times New Roman"/>
          <w:sz w:val="24"/>
          <w:szCs w:val="24"/>
        </w:rPr>
        <w:t>Moorhouse</w:t>
      </w:r>
      <w:proofErr w:type="spellEnd"/>
      <w:r w:rsidR="00AE19AA">
        <w:rPr>
          <w:rFonts w:eastAsia="Calibri" w:cs="Times New Roman"/>
          <w:sz w:val="24"/>
          <w:szCs w:val="24"/>
        </w:rPr>
        <w:t xml:space="preserve"> et al and </w:t>
      </w:r>
      <w:proofErr w:type="spellStart"/>
      <w:r w:rsidR="00AE19AA">
        <w:rPr>
          <w:rFonts w:eastAsia="Calibri" w:cs="Times New Roman"/>
          <w:sz w:val="24"/>
          <w:szCs w:val="24"/>
        </w:rPr>
        <w:t>O’Dono</w:t>
      </w:r>
      <w:r>
        <w:rPr>
          <w:rFonts w:eastAsia="Calibri" w:cs="Times New Roman"/>
          <w:sz w:val="24"/>
          <w:szCs w:val="24"/>
        </w:rPr>
        <w:t>h</w:t>
      </w:r>
      <w:r w:rsidR="000D7248">
        <w:rPr>
          <w:rFonts w:eastAsia="Calibri" w:cs="Times New Roman"/>
          <w:sz w:val="24"/>
          <w:szCs w:val="24"/>
        </w:rPr>
        <w:t>g</w:t>
      </w:r>
      <w:r>
        <w:rPr>
          <w:rFonts w:eastAsia="Calibri" w:cs="Times New Roman"/>
          <w:sz w:val="24"/>
          <w:szCs w:val="24"/>
        </w:rPr>
        <w:t>ue</w:t>
      </w:r>
      <w:proofErr w:type="spellEnd"/>
      <w:r>
        <w:rPr>
          <w:rFonts w:eastAsia="Calibri" w:cs="Times New Roman"/>
          <w:sz w:val="24"/>
          <w:szCs w:val="24"/>
        </w:rPr>
        <w:t xml:space="preserve"> et al) focusing on developing toxicity management algorithms for novel immunotherapy such as checkpoint inhibitors.  On a similar topic, Stoner et al described a home delivery model for </w:t>
      </w:r>
      <w:proofErr w:type="spellStart"/>
      <w:r>
        <w:rPr>
          <w:rFonts w:eastAsia="Calibri" w:cs="Times New Roman"/>
          <w:sz w:val="24"/>
          <w:szCs w:val="24"/>
        </w:rPr>
        <w:t>p</w:t>
      </w:r>
      <w:r w:rsidR="00E119A4">
        <w:rPr>
          <w:rFonts w:eastAsia="Calibri" w:cs="Times New Roman"/>
          <w:sz w:val="24"/>
          <w:szCs w:val="24"/>
        </w:rPr>
        <w:t>embrolizumab</w:t>
      </w:r>
      <w:proofErr w:type="spellEnd"/>
      <w:r w:rsidR="00E119A4">
        <w:rPr>
          <w:rFonts w:eastAsia="Calibri" w:cs="Times New Roman"/>
          <w:sz w:val="24"/>
          <w:szCs w:val="24"/>
        </w:rPr>
        <w:t xml:space="preserve"> that</w:t>
      </w:r>
      <w:r w:rsidR="00AE19AA">
        <w:rPr>
          <w:rFonts w:eastAsia="Calibri" w:cs="Times New Roman"/>
          <w:sz w:val="24"/>
          <w:szCs w:val="24"/>
        </w:rPr>
        <w:t xml:space="preserve"> achieved very</w:t>
      </w:r>
      <w:r>
        <w:rPr>
          <w:rFonts w:eastAsia="Calibri" w:cs="Times New Roman"/>
          <w:sz w:val="24"/>
          <w:szCs w:val="24"/>
        </w:rPr>
        <w:t xml:space="preserve"> positive patient satisfaction</w:t>
      </w:r>
      <w:r w:rsidR="00AE19AA">
        <w:rPr>
          <w:rFonts w:eastAsia="Calibri" w:cs="Times New Roman"/>
          <w:sz w:val="24"/>
          <w:szCs w:val="24"/>
        </w:rPr>
        <w:t xml:space="preserve"> scores</w:t>
      </w:r>
      <w:r>
        <w:rPr>
          <w:rFonts w:eastAsia="Calibri" w:cs="Times New Roman"/>
          <w:sz w:val="24"/>
          <w:szCs w:val="24"/>
        </w:rPr>
        <w:t xml:space="preserve">.  And Preston et al performed a post-hoc analysis of the </w:t>
      </w:r>
      <w:r w:rsidR="00E119A4">
        <w:rPr>
          <w:rFonts w:eastAsia="Calibri" w:cs="Times New Roman"/>
          <w:sz w:val="24"/>
          <w:szCs w:val="24"/>
        </w:rPr>
        <w:t xml:space="preserve">Hodgkin lymphoma </w:t>
      </w:r>
      <w:r>
        <w:rPr>
          <w:rFonts w:eastAsia="Calibri" w:cs="Times New Roman"/>
          <w:sz w:val="24"/>
          <w:szCs w:val="24"/>
        </w:rPr>
        <w:t>RATHL trial data to investigate the impact of obesity on toxicity a</w:t>
      </w:r>
      <w:r w:rsidR="000F506A">
        <w:rPr>
          <w:rFonts w:eastAsia="Calibri" w:cs="Times New Roman"/>
          <w:sz w:val="24"/>
          <w:szCs w:val="24"/>
        </w:rPr>
        <w:t>nd outcome.  The main finding</w:t>
      </w:r>
      <w:r>
        <w:rPr>
          <w:rFonts w:eastAsia="Calibri" w:cs="Times New Roman"/>
          <w:sz w:val="24"/>
          <w:szCs w:val="24"/>
        </w:rPr>
        <w:t xml:space="preserve"> was that dose reductions for obesity resulted in a trend towards a poorer PET scan re</w:t>
      </w:r>
      <w:r w:rsidR="000F506A">
        <w:rPr>
          <w:rFonts w:eastAsia="Calibri" w:cs="Times New Roman"/>
          <w:sz w:val="24"/>
          <w:szCs w:val="24"/>
        </w:rPr>
        <w:t>s</w:t>
      </w:r>
      <w:r>
        <w:rPr>
          <w:rFonts w:eastAsia="Calibri" w:cs="Times New Roman"/>
          <w:sz w:val="24"/>
          <w:szCs w:val="24"/>
        </w:rPr>
        <w:t>ponse although there was no significant difference in PFS/OS.</w:t>
      </w:r>
    </w:p>
    <w:p w:rsidR="008523EB" w:rsidRDefault="007F1D70" w:rsidP="00C32798">
      <w:pPr>
        <w:spacing w:after="0" w:line="240" w:lineRule="auto"/>
        <w:rPr>
          <w:rFonts w:eastAsia="Calibri" w:cs="Times New Roman"/>
          <w:sz w:val="24"/>
          <w:szCs w:val="24"/>
        </w:rPr>
      </w:pPr>
      <w:r>
        <w:rPr>
          <w:rFonts w:eastAsia="Calibri" w:cs="Times New Roman"/>
          <w:sz w:val="24"/>
          <w:szCs w:val="24"/>
        </w:rPr>
        <w:t xml:space="preserve"> </w:t>
      </w:r>
    </w:p>
    <w:p w:rsidR="008523EB" w:rsidRPr="000F506A" w:rsidRDefault="008523EB" w:rsidP="00C32798">
      <w:pPr>
        <w:spacing w:after="0" w:line="240" w:lineRule="auto"/>
        <w:rPr>
          <w:rFonts w:eastAsia="Calibri" w:cs="Times New Roman"/>
          <w:i/>
          <w:sz w:val="24"/>
          <w:szCs w:val="24"/>
        </w:rPr>
      </w:pPr>
      <w:r w:rsidRPr="000F506A">
        <w:rPr>
          <w:rFonts w:eastAsia="Calibri" w:cs="Times New Roman"/>
          <w:i/>
          <w:sz w:val="24"/>
          <w:szCs w:val="24"/>
        </w:rPr>
        <w:t xml:space="preserve">All abstracts were published in the Journal of Oncology Pharmacy Practice 2017; 23: 8: </w:t>
      </w:r>
      <w:proofErr w:type="gramStart"/>
      <w:r w:rsidRPr="000F506A">
        <w:rPr>
          <w:rFonts w:eastAsia="Calibri" w:cs="Times New Roman"/>
          <w:i/>
          <w:sz w:val="24"/>
          <w:szCs w:val="24"/>
        </w:rPr>
        <w:t>Dec  (</w:t>
      </w:r>
      <w:proofErr w:type="gramEnd"/>
      <w:r w:rsidRPr="000F506A">
        <w:rPr>
          <w:rFonts w:eastAsia="Calibri" w:cs="Times New Roman"/>
          <w:i/>
          <w:sz w:val="24"/>
          <w:szCs w:val="24"/>
        </w:rPr>
        <w:t>supplement)</w:t>
      </w:r>
    </w:p>
    <w:p w:rsidR="008523EB" w:rsidRPr="00C770BB" w:rsidRDefault="008523EB" w:rsidP="00C32798">
      <w:pPr>
        <w:spacing w:after="0" w:line="240" w:lineRule="auto"/>
        <w:rPr>
          <w:rFonts w:eastAsia="Calibri" w:cs="Times New Roman"/>
          <w:sz w:val="24"/>
          <w:szCs w:val="24"/>
        </w:rPr>
      </w:pPr>
    </w:p>
    <w:p w:rsidR="008523EB" w:rsidRDefault="008523EB" w:rsidP="00C32798">
      <w:pPr>
        <w:spacing w:after="0" w:line="240" w:lineRule="auto"/>
        <w:rPr>
          <w:rFonts w:eastAsia="Calibri" w:cs="Times New Roman"/>
          <w:b/>
          <w:bCs/>
          <w:sz w:val="28"/>
          <w:szCs w:val="32"/>
        </w:rPr>
      </w:pPr>
    </w:p>
    <w:p w:rsidR="008523EB" w:rsidRDefault="008523EB" w:rsidP="00C32798">
      <w:pPr>
        <w:spacing w:after="0" w:line="240" w:lineRule="auto"/>
        <w:rPr>
          <w:rFonts w:eastAsia="Calibri" w:cs="Times New Roman"/>
          <w:b/>
          <w:bCs/>
          <w:sz w:val="28"/>
          <w:szCs w:val="32"/>
        </w:rPr>
      </w:pPr>
    </w:p>
    <w:p w:rsidR="00201651" w:rsidRDefault="00201651" w:rsidP="00C32798">
      <w:pPr>
        <w:spacing w:after="0" w:line="240" w:lineRule="auto"/>
        <w:rPr>
          <w:rFonts w:eastAsia="Calibri" w:cs="Times New Roman"/>
          <w:b/>
          <w:bCs/>
          <w:sz w:val="28"/>
          <w:szCs w:val="32"/>
        </w:rPr>
      </w:pPr>
    </w:p>
    <w:p w:rsidR="00201651" w:rsidRDefault="00201651" w:rsidP="00C32798">
      <w:pPr>
        <w:spacing w:after="0" w:line="240" w:lineRule="auto"/>
        <w:rPr>
          <w:rFonts w:eastAsia="Calibri" w:cs="Times New Roman"/>
          <w:b/>
          <w:bCs/>
          <w:sz w:val="28"/>
          <w:szCs w:val="32"/>
        </w:rPr>
      </w:pPr>
    </w:p>
    <w:p w:rsidR="00201651" w:rsidRDefault="00201651" w:rsidP="00C32798">
      <w:pPr>
        <w:spacing w:after="0" w:line="240" w:lineRule="auto"/>
        <w:rPr>
          <w:rFonts w:eastAsia="Calibri" w:cs="Times New Roman"/>
          <w:b/>
          <w:bCs/>
          <w:sz w:val="28"/>
          <w:szCs w:val="32"/>
        </w:rPr>
      </w:pPr>
    </w:p>
    <w:p w:rsidR="00ED7AAB" w:rsidRPr="00AE6CD7" w:rsidRDefault="00ED7AAB" w:rsidP="00C32798">
      <w:pPr>
        <w:spacing w:after="0" w:line="240" w:lineRule="auto"/>
        <w:rPr>
          <w:rFonts w:eastAsia="Calibri" w:cs="Arial"/>
          <w:bCs/>
          <w:sz w:val="28"/>
          <w:szCs w:val="32"/>
        </w:rPr>
      </w:pPr>
      <w:r w:rsidRPr="00AE6CD7">
        <w:rPr>
          <w:rFonts w:eastAsia="Calibri" w:cs="Times New Roman"/>
          <w:b/>
          <w:bCs/>
          <w:sz w:val="28"/>
          <w:szCs w:val="32"/>
        </w:rPr>
        <w:lastRenderedPageBreak/>
        <w:t>ECP</w:t>
      </w:r>
      <w:r w:rsidRPr="00AE6CD7">
        <w:rPr>
          <w:rFonts w:eastAsia="Calibri" w:cs="Times New Roman"/>
          <w:sz w:val="28"/>
          <w:szCs w:val="32"/>
        </w:rPr>
        <w:t xml:space="preserve">                              </w:t>
      </w:r>
    </w:p>
    <w:p w:rsidR="00ED7AAB" w:rsidRPr="00AE6CD7" w:rsidRDefault="00ED7AAB" w:rsidP="00C32798">
      <w:pPr>
        <w:spacing w:after="0" w:line="240" w:lineRule="auto"/>
        <w:rPr>
          <w:rFonts w:eastAsia="Calibri" w:cs="Times New Roman"/>
          <w:sz w:val="24"/>
          <w:szCs w:val="28"/>
        </w:rPr>
      </w:pPr>
      <w:r w:rsidRPr="00AE6CD7">
        <w:rPr>
          <w:rFonts w:eastAsia="Calibri" w:cs="Times New Roman"/>
          <w:sz w:val="24"/>
          <w:szCs w:val="28"/>
        </w:rPr>
        <w:t>Dr Ram Ma</w:t>
      </w:r>
      <w:r w:rsidR="005C16B7">
        <w:rPr>
          <w:rFonts w:eastAsia="Calibri" w:cs="Times New Roman"/>
          <w:sz w:val="24"/>
          <w:szCs w:val="28"/>
        </w:rPr>
        <w:t xml:space="preserve">lladi. </w:t>
      </w:r>
      <w:proofErr w:type="gramStart"/>
      <w:r w:rsidR="005C16B7">
        <w:rPr>
          <w:rFonts w:eastAsia="Calibri" w:cs="Times New Roman"/>
          <w:sz w:val="24"/>
          <w:szCs w:val="28"/>
        </w:rPr>
        <w:t>Consultant Haematologist,</w:t>
      </w:r>
      <w:r w:rsidRPr="00AE6CD7">
        <w:rPr>
          <w:rFonts w:eastAsia="Calibri" w:cs="Times New Roman"/>
          <w:sz w:val="24"/>
          <w:szCs w:val="28"/>
        </w:rPr>
        <w:t xml:space="preserve"> Queen Elizabeth Hospital, Birmingham.</w:t>
      </w:r>
      <w:proofErr w:type="gramEnd"/>
    </w:p>
    <w:p w:rsidR="00ED7AAB" w:rsidRDefault="00ED7AAB" w:rsidP="00C32798">
      <w:pPr>
        <w:spacing w:after="0" w:line="240" w:lineRule="auto"/>
        <w:rPr>
          <w:rFonts w:eastAsia="Calibri" w:cs="Times New Roman"/>
          <w:sz w:val="28"/>
          <w:szCs w:val="32"/>
        </w:rPr>
      </w:pPr>
    </w:p>
    <w:p w:rsidR="00201651" w:rsidRDefault="00201651" w:rsidP="00C32798">
      <w:pPr>
        <w:spacing w:after="0" w:line="240" w:lineRule="auto"/>
        <w:rPr>
          <w:rFonts w:eastAsia="Calibri" w:cs="Times New Roman"/>
          <w:sz w:val="24"/>
          <w:szCs w:val="24"/>
        </w:rPr>
      </w:pPr>
      <w:r w:rsidRPr="00201651">
        <w:rPr>
          <w:rFonts w:eastAsia="Calibri" w:cs="Times New Roman"/>
          <w:sz w:val="24"/>
          <w:szCs w:val="24"/>
        </w:rPr>
        <w:t>Dr Malladi</w:t>
      </w:r>
      <w:r>
        <w:rPr>
          <w:rFonts w:eastAsia="Calibri" w:cs="Times New Roman"/>
          <w:sz w:val="24"/>
          <w:szCs w:val="24"/>
        </w:rPr>
        <w:t xml:space="preserve"> provided a very comprehensive overview of GVHD management, including a discussion of the role of ECP in the setting of both acute and chronic GVHD, indications for which it was recently been approved by NHS England.</w:t>
      </w:r>
    </w:p>
    <w:p w:rsidR="00201651" w:rsidRDefault="00201651" w:rsidP="00C32798">
      <w:pPr>
        <w:spacing w:after="0" w:line="240" w:lineRule="auto"/>
        <w:rPr>
          <w:rFonts w:eastAsia="Calibri" w:cs="Times New Roman"/>
          <w:sz w:val="24"/>
          <w:szCs w:val="24"/>
        </w:rPr>
      </w:pPr>
      <w:r>
        <w:rPr>
          <w:rFonts w:eastAsia="Calibri" w:cs="Times New Roman"/>
          <w:sz w:val="24"/>
          <w:szCs w:val="24"/>
        </w:rPr>
        <w:t xml:space="preserve">He initially discussed definitions of GVHD and explained that the traditional classification of acute (&lt;day 100) and chronic (&gt;day 100) were no longer being used with various cross-over and composite forms of GVHD now being recognised e.g. late acute.  He discussed management of </w:t>
      </w:r>
      <w:proofErr w:type="spellStart"/>
      <w:r>
        <w:rPr>
          <w:rFonts w:eastAsia="Calibri" w:cs="Times New Roman"/>
          <w:sz w:val="24"/>
          <w:szCs w:val="24"/>
        </w:rPr>
        <w:t>cGVHD</w:t>
      </w:r>
      <w:proofErr w:type="spellEnd"/>
      <w:r>
        <w:rPr>
          <w:rFonts w:eastAsia="Calibri" w:cs="Times New Roman"/>
          <w:sz w:val="24"/>
          <w:szCs w:val="24"/>
        </w:rPr>
        <w:t xml:space="preserve"> in particular and emphasised the importance of emollients and topical steroids in the setting of skin </w:t>
      </w:r>
      <w:proofErr w:type="spellStart"/>
      <w:r>
        <w:rPr>
          <w:rFonts w:eastAsia="Calibri" w:cs="Times New Roman"/>
          <w:sz w:val="24"/>
          <w:szCs w:val="24"/>
        </w:rPr>
        <w:t>cGVHD</w:t>
      </w:r>
      <w:proofErr w:type="spellEnd"/>
      <w:r>
        <w:rPr>
          <w:rFonts w:eastAsia="Calibri" w:cs="Times New Roman"/>
          <w:sz w:val="24"/>
          <w:szCs w:val="24"/>
        </w:rPr>
        <w:t xml:space="preserve"> and the role of steroid mouthwashes (need to be held in the mouth for 2 minutes to be effective) for oral </w:t>
      </w:r>
      <w:proofErr w:type="spellStart"/>
      <w:r>
        <w:rPr>
          <w:rFonts w:eastAsia="Calibri" w:cs="Times New Roman"/>
          <w:sz w:val="24"/>
          <w:szCs w:val="24"/>
        </w:rPr>
        <w:t>cGVHD</w:t>
      </w:r>
      <w:proofErr w:type="spellEnd"/>
      <w:r>
        <w:rPr>
          <w:rFonts w:eastAsia="Calibri" w:cs="Times New Roman"/>
          <w:sz w:val="24"/>
          <w:szCs w:val="24"/>
        </w:rPr>
        <w:t xml:space="preserve">.  </w:t>
      </w:r>
    </w:p>
    <w:p w:rsidR="00201651" w:rsidRDefault="00201651" w:rsidP="00C32798">
      <w:pPr>
        <w:spacing w:after="0" w:line="240" w:lineRule="auto"/>
        <w:rPr>
          <w:rFonts w:eastAsia="Calibri" w:cs="Times New Roman"/>
          <w:sz w:val="24"/>
          <w:szCs w:val="24"/>
        </w:rPr>
      </w:pPr>
      <w:r>
        <w:rPr>
          <w:rFonts w:eastAsia="Calibri" w:cs="Times New Roman"/>
          <w:sz w:val="24"/>
          <w:szCs w:val="24"/>
        </w:rPr>
        <w:t xml:space="preserve">The AZTEC trial of SC </w:t>
      </w:r>
      <w:proofErr w:type="spellStart"/>
      <w:r>
        <w:rPr>
          <w:rFonts w:eastAsia="Calibri" w:cs="Times New Roman"/>
          <w:sz w:val="24"/>
          <w:szCs w:val="24"/>
        </w:rPr>
        <w:t>azacitidine</w:t>
      </w:r>
      <w:proofErr w:type="spellEnd"/>
      <w:r>
        <w:rPr>
          <w:rFonts w:eastAsia="Calibri" w:cs="Times New Roman"/>
          <w:sz w:val="24"/>
          <w:szCs w:val="24"/>
        </w:rPr>
        <w:t xml:space="preserve"> was mentioned as a current clinical trial for patients with steroid refractory GVHD.  Patients receive the drug at a dose of 36mg/m</w:t>
      </w:r>
      <w:r>
        <w:rPr>
          <w:rFonts w:eastAsia="Calibri" w:cs="Times New Roman"/>
          <w:sz w:val="24"/>
          <w:szCs w:val="24"/>
          <w:vertAlign w:val="superscript"/>
        </w:rPr>
        <w:t xml:space="preserve">2 </w:t>
      </w:r>
      <w:r>
        <w:rPr>
          <w:rFonts w:eastAsia="Calibri" w:cs="Times New Roman"/>
          <w:sz w:val="24"/>
          <w:szCs w:val="24"/>
        </w:rPr>
        <w:t>for up to 6 cycles.</w:t>
      </w:r>
    </w:p>
    <w:p w:rsidR="00E70862" w:rsidRDefault="00E70862" w:rsidP="00C32798">
      <w:pPr>
        <w:spacing w:after="0" w:line="240" w:lineRule="auto"/>
        <w:rPr>
          <w:rFonts w:eastAsia="Calibri" w:cs="Times New Roman"/>
          <w:sz w:val="24"/>
          <w:szCs w:val="24"/>
        </w:rPr>
      </w:pPr>
      <w:r>
        <w:rPr>
          <w:rFonts w:eastAsia="Calibri" w:cs="Times New Roman"/>
          <w:sz w:val="24"/>
          <w:szCs w:val="24"/>
        </w:rPr>
        <w:t>Dr Malladi then discussed ECP which can produce responses</w:t>
      </w:r>
      <w:r w:rsidR="00201651">
        <w:rPr>
          <w:rFonts w:eastAsia="Calibri" w:cs="Times New Roman"/>
          <w:sz w:val="24"/>
          <w:szCs w:val="24"/>
        </w:rPr>
        <w:t xml:space="preserve"> in up to 80% of patients with </w:t>
      </w:r>
      <w:proofErr w:type="spellStart"/>
      <w:r w:rsidR="00201651">
        <w:rPr>
          <w:rFonts w:eastAsia="Calibri" w:cs="Times New Roman"/>
          <w:sz w:val="24"/>
          <w:szCs w:val="24"/>
        </w:rPr>
        <w:t>c</w:t>
      </w:r>
      <w:r>
        <w:rPr>
          <w:rFonts w:eastAsia="Calibri" w:cs="Times New Roman"/>
          <w:sz w:val="24"/>
          <w:szCs w:val="24"/>
        </w:rPr>
        <w:t>GVHD</w:t>
      </w:r>
      <w:proofErr w:type="spellEnd"/>
      <w:r>
        <w:rPr>
          <w:rFonts w:eastAsia="Calibri" w:cs="Times New Roman"/>
          <w:sz w:val="24"/>
          <w:szCs w:val="24"/>
        </w:rPr>
        <w:t xml:space="preserve"> and usually involves fortnightly</w:t>
      </w:r>
      <w:r w:rsidR="00201651">
        <w:rPr>
          <w:rFonts w:eastAsia="Calibri" w:cs="Times New Roman"/>
          <w:sz w:val="24"/>
          <w:szCs w:val="24"/>
        </w:rPr>
        <w:t xml:space="preserve"> treatm</w:t>
      </w:r>
      <w:r>
        <w:rPr>
          <w:rFonts w:eastAsia="Calibri" w:cs="Times New Roman"/>
          <w:sz w:val="24"/>
          <w:szCs w:val="24"/>
        </w:rPr>
        <w:t>ent (on 2 consecutive days</w:t>
      </w:r>
      <w:r w:rsidR="00201651">
        <w:rPr>
          <w:rFonts w:eastAsia="Calibri" w:cs="Times New Roman"/>
          <w:sz w:val="24"/>
          <w:szCs w:val="24"/>
        </w:rPr>
        <w:t xml:space="preserve">) </w:t>
      </w:r>
      <w:r>
        <w:rPr>
          <w:rFonts w:eastAsia="Calibri" w:cs="Times New Roman"/>
          <w:sz w:val="24"/>
          <w:szCs w:val="24"/>
        </w:rPr>
        <w:t>for 14</w:t>
      </w:r>
      <w:r w:rsidR="00E119A4">
        <w:rPr>
          <w:rFonts w:eastAsia="Calibri" w:cs="Times New Roman"/>
          <w:sz w:val="24"/>
          <w:szCs w:val="24"/>
        </w:rPr>
        <w:t xml:space="preserve"> </w:t>
      </w:r>
      <w:r>
        <w:rPr>
          <w:rFonts w:eastAsia="Calibri" w:cs="Times New Roman"/>
          <w:sz w:val="24"/>
          <w:szCs w:val="24"/>
        </w:rPr>
        <w:t xml:space="preserve">weeks then monthly treatments for 12-18 months.  </w:t>
      </w:r>
    </w:p>
    <w:p w:rsidR="00ED7AAB" w:rsidRPr="00201651" w:rsidRDefault="00E70862" w:rsidP="00C32798">
      <w:pPr>
        <w:spacing w:after="0" w:line="240" w:lineRule="auto"/>
        <w:rPr>
          <w:rFonts w:eastAsia="Calibri" w:cs="Times New Roman"/>
          <w:sz w:val="24"/>
          <w:szCs w:val="24"/>
        </w:rPr>
      </w:pPr>
      <w:r>
        <w:rPr>
          <w:rFonts w:eastAsia="Calibri" w:cs="Times New Roman"/>
          <w:sz w:val="24"/>
          <w:szCs w:val="24"/>
        </w:rPr>
        <w:t xml:space="preserve">In terms of novel therapies for steroid-refractory GVHD, there appears to be most interest currently in </w:t>
      </w:r>
      <w:proofErr w:type="spellStart"/>
      <w:r>
        <w:rPr>
          <w:rFonts w:eastAsia="Calibri" w:cs="Times New Roman"/>
          <w:sz w:val="24"/>
          <w:szCs w:val="24"/>
        </w:rPr>
        <w:t>ruxolitinib</w:t>
      </w:r>
      <w:proofErr w:type="spellEnd"/>
      <w:r>
        <w:rPr>
          <w:rFonts w:eastAsia="Calibri" w:cs="Times New Roman"/>
          <w:sz w:val="24"/>
          <w:szCs w:val="24"/>
        </w:rPr>
        <w:t xml:space="preserve"> and </w:t>
      </w:r>
      <w:proofErr w:type="spellStart"/>
      <w:r>
        <w:rPr>
          <w:rFonts w:eastAsia="Calibri" w:cs="Times New Roman"/>
          <w:sz w:val="24"/>
          <w:szCs w:val="24"/>
        </w:rPr>
        <w:t>ibrutinib</w:t>
      </w:r>
      <w:proofErr w:type="spellEnd"/>
      <w:r>
        <w:rPr>
          <w:rFonts w:eastAsia="Calibri" w:cs="Times New Roman"/>
          <w:sz w:val="24"/>
          <w:szCs w:val="24"/>
        </w:rPr>
        <w:t>.</w:t>
      </w:r>
      <w:r w:rsidR="00201651" w:rsidRPr="00201651">
        <w:rPr>
          <w:rFonts w:eastAsia="Calibri" w:cs="Times New Roman"/>
          <w:sz w:val="24"/>
          <w:szCs w:val="24"/>
        </w:rPr>
        <w:t xml:space="preserve"> </w:t>
      </w:r>
    </w:p>
    <w:p w:rsidR="0076553E" w:rsidRDefault="0076553E" w:rsidP="00C32798">
      <w:pPr>
        <w:spacing w:after="0" w:line="240" w:lineRule="auto"/>
        <w:rPr>
          <w:rFonts w:eastAsia="Calibri" w:cs="Times New Roman"/>
          <w:b/>
          <w:bCs/>
          <w:sz w:val="24"/>
          <w:szCs w:val="24"/>
        </w:rPr>
      </w:pPr>
    </w:p>
    <w:p w:rsidR="00F741DF" w:rsidRDefault="00F741DF" w:rsidP="00C32798">
      <w:pPr>
        <w:spacing w:after="0" w:line="240" w:lineRule="auto"/>
        <w:rPr>
          <w:rFonts w:eastAsia="Calibri" w:cs="Times New Roman"/>
          <w:b/>
          <w:bCs/>
          <w:sz w:val="24"/>
          <w:szCs w:val="24"/>
        </w:rPr>
      </w:pPr>
    </w:p>
    <w:p w:rsidR="00E70862" w:rsidRPr="00201651" w:rsidRDefault="00E70862" w:rsidP="00C32798">
      <w:pPr>
        <w:spacing w:after="0" w:line="240" w:lineRule="auto"/>
        <w:rPr>
          <w:rFonts w:eastAsia="Calibri" w:cs="Times New Roman"/>
          <w:b/>
          <w:bCs/>
          <w:sz w:val="24"/>
          <w:szCs w:val="24"/>
        </w:rPr>
      </w:pPr>
    </w:p>
    <w:p w:rsidR="00E70862" w:rsidRDefault="00E70862" w:rsidP="00E70862">
      <w:pPr>
        <w:spacing w:after="0" w:line="240" w:lineRule="auto"/>
        <w:rPr>
          <w:rFonts w:eastAsia="Calibri" w:cs="Times New Roman"/>
          <w:b/>
          <w:bCs/>
          <w:sz w:val="28"/>
          <w:szCs w:val="32"/>
        </w:rPr>
      </w:pPr>
      <w:r w:rsidRPr="00AE6CD7">
        <w:rPr>
          <w:rFonts w:eastAsia="Calibri" w:cs="Times New Roman"/>
          <w:b/>
          <w:bCs/>
          <w:sz w:val="28"/>
          <w:szCs w:val="32"/>
        </w:rPr>
        <w:t>Antifungals in HSCT</w:t>
      </w:r>
    </w:p>
    <w:p w:rsidR="00E70862" w:rsidRPr="00AE6CD7" w:rsidRDefault="00E70862" w:rsidP="00E70862">
      <w:pPr>
        <w:spacing w:after="0" w:line="240" w:lineRule="auto"/>
        <w:rPr>
          <w:rFonts w:eastAsia="Calibri" w:cs="Times New Roman"/>
          <w:b/>
          <w:bCs/>
          <w:sz w:val="28"/>
          <w:szCs w:val="32"/>
        </w:rPr>
      </w:pPr>
      <w:proofErr w:type="spellStart"/>
      <w:r w:rsidRPr="00AE6CD7">
        <w:rPr>
          <w:rFonts w:eastAsia="Times New Roman" w:cs="Times New Roman"/>
          <w:sz w:val="24"/>
          <w:szCs w:val="28"/>
          <w:lang w:eastAsia="en-GB"/>
        </w:rPr>
        <w:t>Dr.</w:t>
      </w:r>
      <w:proofErr w:type="spellEnd"/>
      <w:r w:rsidRPr="00AE6CD7">
        <w:rPr>
          <w:rFonts w:eastAsia="Times New Roman" w:cs="Times New Roman"/>
          <w:sz w:val="24"/>
          <w:szCs w:val="28"/>
          <w:lang w:eastAsia="en-GB"/>
        </w:rPr>
        <w:t xml:space="preserve"> Samir Agrawal. Senior L</w:t>
      </w:r>
      <w:r w:rsidR="005C16B7">
        <w:rPr>
          <w:rFonts w:eastAsia="Times New Roman" w:cs="Times New Roman"/>
          <w:sz w:val="24"/>
          <w:szCs w:val="28"/>
          <w:lang w:eastAsia="en-GB"/>
        </w:rPr>
        <w:t>ecturer and Honorary Consultant,</w:t>
      </w:r>
      <w:r w:rsidRPr="00AE6CD7">
        <w:rPr>
          <w:rFonts w:eastAsia="Times New Roman" w:cs="Times New Roman"/>
          <w:sz w:val="24"/>
          <w:szCs w:val="28"/>
          <w:lang w:eastAsia="en-GB"/>
        </w:rPr>
        <w:t xml:space="preserve"> </w:t>
      </w:r>
      <w:proofErr w:type="spellStart"/>
      <w:r w:rsidRPr="00AE6CD7">
        <w:rPr>
          <w:rFonts w:eastAsia="Times New Roman" w:cs="Times New Roman"/>
          <w:sz w:val="24"/>
          <w:szCs w:val="28"/>
          <w:lang w:eastAsia="en-GB"/>
        </w:rPr>
        <w:t>Barts</w:t>
      </w:r>
      <w:proofErr w:type="spellEnd"/>
      <w:r w:rsidRPr="00AE6CD7">
        <w:rPr>
          <w:rFonts w:eastAsia="Times New Roman" w:cs="Times New Roman"/>
          <w:sz w:val="24"/>
          <w:szCs w:val="28"/>
          <w:lang w:eastAsia="en-GB"/>
        </w:rPr>
        <w:t xml:space="preserve"> Health </w:t>
      </w:r>
      <w:r>
        <w:rPr>
          <w:rFonts w:eastAsia="Times New Roman" w:cs="Times New Roman"/>
          <w:sz w:val="24"/>
          <w:szCs w:val="28"/>
          <w:lang w:eastAsia="en-GB"/>
        </w:rPr>
        <w:t xml:space="preserve"> </w:t>
      </w:r>
    </w:p>
    <w:p w:rsidR="00E70862" w:rsidRDefault="00E70862" w:rsidP="00E70862">
      <w:pPr>
        <w:spacing w:after="0" w:line="240" w:lineRule="auto"/>
        <w:rPr>
          <w:rFonts w:eastAsia="Times New Roman" w:cs="Times New Roman"/>
          <w:sz w:val="24"/>
          <w:szCs w:val="28"/>
          <w:lang w:eastAsia="en-GB"/>
        </w:rPr>
      </w:pPr>
      <w:proofErr w:type="gramStart"/>
      <w:r w:rsidRPr="00AE6CD7">
        <w:rPr>
          <w:rFonts w:eastAsia="Times New Roman" w:cs="Times New Roman"/>
          <w:sz w:val="24"/>
          <w:szCs w:val="28"/>
          <w:lang w:eastAsia="en-GB"/>
        </w:rPr>
        <w:t>NHS Trust; and</w:t>
      </w:r>
      <w:r w:rsidRPr="00AE6CD7">
        <w:rPr>
          <w:rFonts w:eastAsia="Times New Roman" w:cs="Times New Roman"/>
          <w:color w:val="FFFFFF" w:themeColor="background1"/>
          <w:sz w:val="24"/>
          <w:szCs w:val="28"/>
          <w:lang w:eastAsia="en-GB"/>
        </w:rPr>
        <w:t xml:space="preserve"> </w:t>
      </w:r>
      <w:proofErr w:type="spellStart"/>
      <w:r w:rsidRPr="00AE6CD7">
        <w:rPr>
          <w:rFonts w:eastAsia="Times New Roman" w:cs="Times New Roman"/>
          <w:sz w:val="24"/>
          <w:szCs w:val="28"/>
          <w:lang w:eastAsia="en-GB"/>
        </w:rPr>
        <w:t>Blizard</w:t>
      </w:r>
      <w:proofErr w:type="spellEnd"/>
      <w:r w:rsidRPr="00AE6CD7">
        <w:rPr>
          <w:rFonts w:eastAsia="Times New Roman" w:cs="Times New Roman"/>
          <w:sz w:val="24"/>
          <w:szCs w:val="28"/>
          <w:lang w:eastAsia="en-GB"/>
        </w:rPr>
        <w:t xml:space="preserve"> Institute, Queen Mary University of London.</w:t>
      </w:r>
      <w:proofErr w:type="gramEnd"/>
    </w:p>
    <w:p w:rsidR="00E41012" w:rsidRDefault="00E41012" w:rsidP="00E70862">
      <w:pPr>
        <w:spacing w:after="0" w:line="240" w:lineRule="auto"/>
        <w:rPr>
          <w:rFonts w:eastAsia="Times New Roman" w:cs="Times New Roman"/>
          <w:sz w:val="24"/>
          <w:szCs w:val="28"/>
          <w:lang w:eastAsia="en-GB"/>
        </w:rPr>
      </w:pPr>
    </w:p>
    <w:p w:rsidR="00E75A55" w:rsidRPr="00E75A55" w:rsidRDefault="00E41012" w:rsidP="00E70862">
      <w:pPr>
        <w:spacing w:after="0" w:line="240" w:lineRule="auto"/>
        <w:rPr>
          <w:rFonts w:eastAsia="Times New Roman" w:cs="Times New Roman"/>
          <w:sz w:val="24"/>
          <w:szCs w:val="28"/>
          <w:lang w:eastAsia="en-GB"/>
        </w:rPr>
      </w:pPr>
      <w:r>
        <w:rPr>
          <w:rFonts w:eastAsia="Times New Roman" w:cs="Times New Roman"/>
          <w:sz w:val="24"/>
          <w:szCs w:val="28"/>
          <w:lang w:eastAsia="en-GB"/>
        </w:rPr>
        <w:t xml:space="preserve">Dr Agarwal delivered an excellent overview of current challenges in the management of IFIs in haematology patients, with a particular focus on antifungal stewardship.  Areas discussed included risk factors for IFIs, the role of TDM, diagnostic challenges and dealing with spiralling expenditure, particularly in the area of prophylaxis.  As an example he quoted a poster </w:t>
      </w:r>
      <w:r w:rsidR="00D855AD">
        <w:rPr>
          <w:rFonts w:eastAsia="Times New Roman" w:cs="Times New Roman"/>
          <w:sz w:val="24"/>
          <w:szCs w:val="28"/>
          <w:lang w:eastAsia="en-GB"/>
        </w:rPr>
        <w:t>that had been presented at the Trends in Medical M</w:t>
      </w:r>
      <w:r>
        <w:rPr>
          <w:rFonts w:eastAsia="Times New Roman" w:cs="Times New Roman"/>
          <w:sz w:val="24"/>
          <w:szCs w:val="28"/>
          <w:lang w:eastAsia="en-GB"/>
        </w:rPr>
        <w:t>ycology (TIMM) conference</w:t>
      </w:r>
      <w:r w:rsidR="00D855AD">
        <w:rPr>
          <w:rFonts w:eastAsia="Times New Roman" w:cs="Times New Roman"/>
          <w:sz w:val="24"/>
          <w:szCs w:val="28"/>
          <w:lang w:eastAsia="en-GB"/>
        </w:rPr>
        <w:t xml:space="preserve"> (Dexter, Agrawal, 2015) demonstrating that 85% of </w:t>
      </w:r>
      <w:r w:rsidR="000604D7">
        <w:rPr>
          <w:rFonts w:eastAsia="Times New Roman" w:cs="Times New Roman"/>
          <w:sz w:val="24"/>
          <w:szCs w:val="28"/>
          <w:lang w:eastAsia="en-GB"/>
        </w:rPr>
        <w:t xml:space="preserve">antifungal </w:t>
      </w:r>
      <w:r w:rsidR="00D855AD">
        <w:rPr>
          <w:rFonts w:eastAsia="Times New Roman" w:cs="Times New Roman"/>
          <w:sz w:val="24"/>
          <w:szCs w:val="28"/>
          <w:lang w:eastAsia="en-GB"/>
        </w:rPr>
        <w:t>expenditure is in patients who don’t actually have an IFI!</w:t>
      </w:r>
      <w:r w:rsidR="00E75A55">
        <w:rPr>
          <w:rFonts w:eastAsia="Times New Roman" w:cs="Times New Roman"/>
          <w:sz w:val="24"/>
          <w:szCs w:val="28"/>
          <w:lang w:eastAsia="en-GB"/>
        </w:rPr>
        <w:t xml:space="preserve">  He also mentioned that NHS England </w:t>
      </w:r>
      <w:proofErr w:type="gramStart"/>
      <w:r w:rsidR="00E75A55">
        <w:rPr>
          <w:rFonts w:eastAsia="Times New Roman" w:cs="Times New Roman"/>
          <w:sz w:val="24"/>
          <w:szCs w:val="28"/>
          <w:lang w:eastAsia="en-GB"/>
        </w:rPr>
        <w:t>are</w:t>
      </w:r>
      <w:proofErr w:type="gramEnd"/>
      <w:r w:rsidR="00E75A55">
        <w:rPr>
          <w:rFonts w:eastAsia="Times New Roman" w:cs="Times New Roman"/>
          <w:sz w:val="24"/>
          <w:szCs w:val="28"/>
          <w:lang w:eastAsia="en-GB"/>
        </w:rPr>
        <w:t xml:space="preserve"> likely to be launching a fungal CQUIN at som</w:t>
      </w:r>
      <w:r w:rsidR="000604D7">
        <w:rPr>
          <w:rFonts w:eastAsia="Times New Roman" w:cs="Times New Roman"/>
          <w:sz w:val="24"/>
          <w:szCs w:val="28"/>
          <w:lang w:eastAsia="en-GB"/>
        </w:rPr>
        <w:t>e point with a focus on generic</w:t>
      </w:r>
      <w:r w:rsidR="00E75A55">
        <w:rPr>
          <w:rFonts w:eastAsia="Times New Roman" w:cs="Times New Roman"/>
          <w:sz w:val="24"/>
          <w:szCs w:val="28"/>
          <w:lang w:eastAsia="en-GB"/>
        </w:rPr>
        <w:t xml:space="preserve"> antifungals, TDM, diagnostics and stewardship programmes.  He is hoping to collect and collate audit data from a number of large UK centres and seemed very keen to engage </w:t>
      </w:r>
      <w:r w:rsidR="000604D7">
        <w:rPr>
          <w:rFonts w:eastAsia="Times New Roman" w:cs="Times New Roman"/>
          <w:sz w:val="24"/>
          <w:szCs w:val="28"/>
          <w:lang w:eastAsia="en-GB"/>
        </w:rPr>
        <w:t xml:space="preserve">with </w:t>
      </w:r>
      <w:r w:rsidR="00E75A55">
        <w:rPr>
          <w:rFonts w:eastAsia="Times New Roman" w:cs="Times New Roman"/>
          <w:sz w:val="24"/>
          <w:szCs w:val="28"/>
          <w:lang w:eastAsia="en-GB"/>
        </w:rPr>
        <w:t>us as a group in terms of supporting this initiative.  He also encouraged the audience to try and attend the next fungal update meetings (</w:t>
      </w:r>
      <w:hyperlink r:id="rId9" w:history="1">
        <w:r w:rsidR="00E75A55" w:rsidRPr="004F4FCB">
          <w:rPr>
            <w:rStyle w:val="Hyperlink"/>
            <w:rFonts w:eastAsia="Times New Roman" w:cs="Times New Roman"/>
            <w:sz w:val="24"/>
            <w:szCs w:val="28"/>
            <w:lang w:eastAsia="en-GB"/>
          </w:rPr>
          <w:t>www.fungalupdate.org</w:t>
        </w:r>
      </w:hyperlink>
      <w:r w:rsidR="00E119A4">
        <w:rPr>
          <w:rFonts w:eastAsia="Times New Roman" w:cs="Times New Roman"/>
          <w:sz w:val="24"/>
          <w:szCs w:val="28"/>
          <w:lang w:eastAsia="en-GB"/>
        </w:rPr>
        <w:t>) that is taking place i</w:t>
      </w:r>
      <w:r w:rsidR="00E75A55">
        <w:rPr>
          <w:rFonts w:eastAsia="Times New Roman" w:cs="Times New Roman"/>
          <w:sz w:val="24"/>
          <w:szCs w:val="28"/>
          <w:lang w:eastAsia="en-GB"/>
        </w:rPr>
        <w:t>n London on 2</w:t>
      </w:r>
      <w:r w:rsidR="00E75A55" w:rsidRPr="00E75A55">
        <w:rPr>
          <w:rFonts w:eastAsia="Times New Roman" w:cs="Times New Roman"/>
          <w:sz w:val="24"/>
          <w:szCs w:val="28"/>
          <w:vertAlign w:val="superscript"/>
          <w:lang w:eastAsia="en-GB"/>
        </w:rPr>
        <w:t>nd</w:t>
      </w:r>
      <w:r w:rsidR="00E75A55">
        <w:rPr>
          <w:rFonts w:eastAsia="Times New Roman" w:cs="Times New Roman"/>
          <w:sz w:val="24"/>
          <w:szCs w:val="28"/>
          <w:lang w:eastAsia="en-GB"/>
        </w:rPr>
        <w:t>-3</w:t>
      </w:r>
      <w:r w:rsidR="00E75A55" w:rsidRPr="00E75A55">
        <w:rPr>
          <w:rFonts w:eastAsia="Times New Roman" w:cs="Times New Roman"/>
          <w:sz w:val="24"/>
          <w:szCs w:val="28"/>
          <w:vertAlign w:val="superscript"/>
          <w:lang w:eastAsia="en-GB"/>
        </w:rPr>
        <w:t>rd</w:t>
      </w:r>
      <w:r w:rsidR="00E75A55">
        <w:rPr>
          <w:rFonts w:eastAsia="Times New Roman" w:cs="Times New Roman"/>
          <w:sz w:val="24"/>
          <w:szCs w:val="28"/>
          <w:lang w:eastAsia="en-GB"/>
        </w:rPr>
        <w:t xml:space="preserve"> March 2018. </w:t>
      </w:r>
    </w:p>
    <w:p w:rsidR="0076553E" w:rsidRDefault="0076553E" w:rsidP="00C32798">
      <w:pPr>
        <w:spacing w:after="0" w:line="240" w:lineRule="auto"/>
        <w:rPr>
          <w:rFonts w:eastAsia="Calibri" w:cs="Times New Roman"/>
          <w:b/>
          <w:bCs/>
          <w:sz w:val="24"/>
          <w:szCs w:val="24"/>
        </w:rPr>
      </w:pPr>
    </w:p>
    <w:p w:rsidR="00F741DF" w:rsidRPr="00F741DF" w:rsidRDefault="00F741DF" w:rsidP="00C32798">
      <w:pPr>
        <w:spacing w:after="0" w:line="240" w:lineRule="auto"/>
        <w:rPr>
          <w:rFonts w:eastAsia="Calibri" w:cs="Times New Roman"/>
          <w:bCs/>
          <w:sz w:val="24"/>
          <w:szCs w:val="24"/>
        </w:rPr>
      </w:pPr>
      <w:r w:rsidRPr="00F741DF">
        <w:rPr>
          <w:rFonts w:eastAsia="Calibri" w:cs="Times New Roman"/>
          <w:bCs/>
          <w:sz w:val="24"/>
          <w:szCs w:val="24"/>
        </w:rPr>
        <w:t>Some of the reference</w:t>
      </w:r>
      <w:r w:rsidR="000604D7">
        <w:rPr>
          <w:rFonts w:eastAsia="Calibri" w:cs="Times New Roman"/>
          <w:bCs/>
          <w:sz w:val="24"/>
          <w:szCs w:val="24"/>
        </w:rPr>
        <w:t>s</w:t>
      </w:r>
      <w:r w:rsidRPr="00F741DF">
        <w:rPr>
          <w:rFonts w:eastAsia="Calibri" w:cs="Times New Roman"/>
          <w:bCs/>
          <w:sz w:val="24"/>
          <w:szCs w:val="24"/>
        </w:rPr>
        <w:t xml:space="preserve"> he quoted are listed below:</w:t>
      </w:r>
    </w:p>
    <w:p w:rsidR="00F741DF" w:rsidRDefault="00AE19AA" w:rsidP="00C32798">
      <w:pPr>
        <w:spacing w:after="0" w:line="240" w:lineRule="auto"/>
        <w:rPr>
          <w:rFonts w:eastAsia="Calibri" w:cs="Times New Roman"/>
          <w:b/>
          <w:bCs/>
          <w:sz w:val="24"/>
          <w:szCs w:val="24"/>
        </w:rPr>
      </w:pPr>
      <w:hyperlink r:id="rId10" w:history="1">
        <w:r w:rsidR="00F741DF" w:rsidRPr="004F4FCB">
          <w:rPr>
            <w:rStyle w:val="Hyperlink"/>
            <w:rFonts w:eastAsia="Calibri" w:cs="Times New Roman"/>
            <w:b/>
            <w:bCs/>
            <w:sz w:val="24"/>
            <w:szCs w:val="24"/>
          </w:rPr>
          <w:t>http://www.haematologica.org/content/102/3/433</w:t>
        </w:r>
      </w:hyperlink>
    </w:p>
    <w:p w:rsidR="00F741DF" w:rsidRDefault="00AE19AA" w:rsidP="00C32798">
      <w:pPr>
        <w:spacing w:after="0" w:line="240" w:lineRule="auto"/>
        <w:rPr>
          <w:rFonts w:eastAsia="Calibri" w:cs="Times New Roman"/>
          <w:b/>
          <w:bCs/>
          <w:sz w:val="24"/>
          <w:szCs w:val="24"/>
        </w:rPr>
      </w:pPr>
      <w:hyperlink r:id="rId11" w:history="1">
        <w:r w:rsidR="00F741DF" w:rsidRPr="004F4FCB">
          <w:rPr>
            <w:rStyle w:val="Hyperlink"/>
            <w:rFonts w:eastAsia="Calibri" w:cs="Times New Roman"/>
            <w:b/>
            <w:bCs/>
            <w:sz w:val="24"/>
            <w:szCs w:val="24"/>
          </w:rPr>
          <w:t>https://www.ncbi.nlm.nih.gov/pubmed/21177403</w:t>
        </w:r>
      </w:hyperlink>
    </w:p>
    <w:p w:rsidR="00F741DF" w:rsidRDefault="00AE19AA" w:rsidP="00C32798">
      <w:pPr>
        <w:spacing w:after="0" w:line="240" w:lineRule="auto"/>
        <w:rPr>
          <w:rFonts w:eastAsia="Calibri" w:cs="Times New Roman"/>
          <w:b/>
          <w:bCs/>
          <w:sz w:val="24"/>
          <w:szCs w:val="24"/>
        </w:rPr>
      </w:pPr>
      <w:hyperlink r:id="rId12" w:history="1">
        <w:r w:rsidR="00F741DF" w:rsidRPr="004F4FCB">
          <w:rPr>
            <w:rStyle w:val="Hyperlink"/>
            <w:rFonts w:eastAsia="Calibri" w:cs="Times New Roman"/>
            <w:b/>
            <w:bCs/>
            <w:sz w:val="24"/>
            <w:szCs w:val="24"/>
          </w:rPr>
          <w:t>https://www.ncbi.nlm.nih.gov/pubmed/22324737</w:t>
        </w:r>
      </w:hyperlink>
    </w:p>
    <w:p w:rsidR="00F741DF" w:rsidRDefault="00AE19AA" w:rsidP="00C32798">
      <w:pPr>
        <w:spacing w:after="0" w:line="240" w:lineRule="auto"/>
        <w:rPr>
          <w:rFonts w:eastAsia="Calibri" w:cs="Times New Roman"/>
          <w:b/>
          <w:bCs/>
          <w:sz w:val="24"/>
          <w:szCs w:val="24"/>
        </w:rPr>
      </w:pPr>
      <w:hyperlink r:id="rId13" w:history="1">
        <w:r w:rsidR="00F741DF" w:rsidRPr="004F4FCB">
          <w:rPr>
            <w:rStyle w:val="Hyperlink"/>
            <w:rFonts w:eastAsia="Calibri" w:cs="Times New Roman"/>
            <w:b/>
            <w:bCs/>
            <w:sz w:val="24"/>
            <w:szCs w:val="24"/>
          </w:rPr>
          <w:t>http://www.nature.com/articles/bmt2010256</w:t>
        </w:r>
      </w:hyperlink>
    </w:p>
    <w:p w:rsidR="00F741DF" w:rsidRDefault="00F741DF" w:rsidP="00C32798">
      <w:pPr>
        <w:spacing w:after="0" w:line="240" w:lineRule="auto"/>
        <w:rPr>
          <w:rFonts w:eastAsia="Calibri" w:cs="Times New Roman"/>
          <w:b/>
          <w:bCs/>
          <w:sz w:val="24"/>
          <w:szCs w:val="24"/>
        </w:rPr>
      </w:pPr>
    </w:p>
    <w:p w:rsidR="00E41012" w:rsidRPr="00201651" w:rsidRDefault="00E41012" w:rsidP="00C32798">
      <w:pPr>
        <w:spacing w:after="0" w:line="240" w:lineRule="auto"/>
        <w:rPr>
          <w:rFonts w:eastAsia="Calibri" w:cs="Times New Roman"/>
          <w:b/>
          <w:bCs/>
          <w:sz w:val="24"/>
          <w:szCs w:val="24"/>
        </w:rPr>
      </w:pPr>
    </w:p>
    <w:p w:rsidR="0076553E" w:rsidRPr="00201651" w:rsidRDefault="0076553E" w:rsidP="00C32798">
      <w:pPr>
        <w:spacing w:after="0" w:line="240" w:lineRule="auto"/>
        <w:rPr>
          <w:rFonts w:eastAsia="Calibri" w:cs="Times New Roman"/>
          <w:b/>
          <w:bCs/>
          <w:sz w:val="24"/>
          <w:szCs w:val="24"/>
        </w:rPr>
      </w:pPr>
    </w:p>
    <w:p w:rsidR="00ED7AAB" w:rsidRPr="00AE6CD7" w:rsidRDefault="00ED7AAB" w:rsidP="00C32798">
      <w:pPr>
        <w:spacing w:after="0" w:line="240" w:lineRule="auto"/>
        <w:rPr>
          <w:rFonts w:eastAsia="Calibri" w:cs="Times New Roman"/>
          <w:sz w:val="28"/>
          <w:szCs w:val="32"/>
        </w:rPr>
      </w:pPr>
      <w:r w:rsidRPr="00AE6CD7">
        <w:rPr>
          <w:rFonts w:eastAsia="Calibri" w:cs="Times New Roman"/>
          <w:b/>
          <w:bCs/>
          <w:sz w:val="28"/>
          <w:szCs w:val="32"/>
        </w:rPr>
        <w:lastRenderedPageBreak/>
        <w:t>G</w:t>
      </w:r>
      <w:r w:rsidR="00A77419">
        <w:rPr>
          <w:rFonts w:eastAsia="Calibri" w:cs="Times New Roman"/>
          <w:b/>
          <w:bCs/>
          <w:sz w:val="28"/>
          <w:szCs w:val="32"/>
        </w:rPr>
        <w:t>-</w:t>
      </w:r>
      <w:r w:rsidRPr="00AE6CD7">
        <w:rPr>
          <w:rFonts w:eastAsia="Calibri" w:cs="Times New Roman"/>
          <w:b/>
          <w:bCs/>
          <w:sz w:val="28"/>
          <w:szCs w:val="32"/>
        </w:rPr>
        <w:t>CSF Survey</w:t>
      </w:r>
      <w:r w:rsidRPr="00AE6CD7">
        <w:rPr>
          <w:rFonts w:eastAsia="Calibri" w:cs="Times New Roman"/>
          <w:sz w:val="28"/>
          <w:szCs w:val="32"/>
        </w:rPr>
        <w:t xml:space="preserve">                          </w:t>
      </w:r>
    </w:p>
    <w:p w:rsidR="00ED7AAB" w:rsidRDefault="005C16B7" w:rsidP="00C32798">
      <w:pPr>
        <w:spacing w:after="0" w:line="240" w:lineRule="auto"/>
        <w:rPr>
          <w:rFonts w:eastAsia="Calibri" w:cs="Times New Roman"/>
          <w:sz w:val="24"/>
          <w:szCs w:val="28"/>
        </w:rPr>
      </w:pPr>
      <w:r>
        <w:rPr>
          <w:rFonts w:eastAsia="Calibri" w:cs="Times New Roman"/>
          <w:sz w:val="24"/>
          <w:szCs w:val="28"/>
        </w:rPr>
        <w:t>Nick Duncan. BMT Pharmacist,</w:t>
      </w:r>
      <w:r w:rsidR="00ED7AAB" w:rsidRPr="00AE6CD7">
        <w:rPr>
          <w:rFonts w:eastAsia="Calibri" w:cs="Times New Roman"/>
          <w:sz w:val="24"/>
          <w:szCs w:val="28"/>
        </w:rPr>
        <w:t xml:space="preserve"> QE, Birmingham</w:t>
      </w:r>
    </w:p>
    <w:p w:rsidR="007479CE" w:rsidRDefault="007479CE" w:rsidP="00C32798">
      <w:pPr>
        <w:spacing w:after="0" w:line="240" w:lineRule="auto"/>
        <w:rPr>
          <w:rFonts w:eastAsia="Calibri" w:cs="Times New Roman"/>
          <w:sz w:val="24"/>
          <w:szCs w:val="28"/>
        </w:rPr>
      </w:pPr>
    </w:p>
    <w:p w:rsidR="007479CE" w:rsidRPr="004A3649" w:rsidRDefault="007479CE" w:rsidP="007479CE">
      <w:pPr>
        <w:spacing w:after="0" w:line="240" w:lineRule="auto"/>
        <w:rPr>
          <w:rFonts w:eastAsia="Calibri" w:cs="Times New Roman"/>
          <w:sz w:val="24"/>
          <w:szCs w:val="24"/>
        </w:rPr>
      </w:pPr>
      <w:r w:rsidRPr="004A3649">
        <w:rPr>
          <w:rFonts w:eastAsia="Calibri" w:cs="Times New Roman"/>
          <w:sz w:val="24"/>
          <w:szCs w:val="24"/>
        </w:rPr>
        <w:t xml:space="preserve">Nick </w:t>
      </w:r>
      <w:r w:rsidR="00201651">
        <w:rPr>
          <w:rFonts w:eastAsia="Calibri" w:cs="Times New Roman"/>
          <w:sz w:val="24"/>
          <w:szCs w:val="24"/>
        </w:rPr>
        <w:t xml:space="preserve">Duncan </w:t>
      </w:r>
      <w:r w:rsidRPr="004A3649">
        <w:rPr>
          <w:rFonts w:eastAsia="Calibri" w:cs="Times New Roman"/>
          <w:sz w:val="24"/>
          <w:szCs w:val="24"/>
        </w:rPr>
        <w:t>presented</w:t>
      </w:r>
      <w:r w:rsidR="00074E84">
        <w:rPr>
          <w:rFonts w:eastAsia="Calibri" w:cs="Times New Roman"/>
          <w:sz w:val="24"/>
          <w:szCs w:val="24"/>
        </w:rPr>
        <w:t xml:space="preserve"> the results of a recent survey</w:t>
      </w:r>
      <w:r w:rsidRPr="004A3649">
        <w:rPr>
          <w:rFonts w:eastAsia="Calibri" w:cs="Times New Roman"/>
          <w:sz w:val="24"/>
          <w:szCs w:val="24"/>
        </w:rPr>
        <w:t xml:space="preserve"> of UK haematology practice in the area of G-CSF prescribing.  The survey contained questions covering c</w:t>
      </w:r>
      <w:r w:rsidR="008E422E" w:rsidRPr="004A3649">
        <w:rPr>
          <w:rFonts w:eastAsia="Calibri" w:cs="Times New Roman"/>
          <w:sz w:val="24"/>
          <w:szCs w:val="24"/>
        </w:rPr>
        <w:t>hoice of G-CSF for stem cell mobilisation, post-transplant count recovery and 1</w:t>
      </w:r>
      <w:r w:rsidR="008E422E" w:rsidRPr="004A3649">
        <w:rPr>
          <w:rFonts w:eastAsia="Calibri" w:cs="Times New Roman"/>
          <w:sz w:val="24"/>
          <w:szCs w:val="24"/>
          <w:vertAlign w:val="superscript"/>
        </w:rPr>
        <w:t>ry</w:t>
      </w:r>
      <w:r w:rsidR="008E422E" w:rsidRPr="004A3649">
        <w:rPr>
          <w:rFonts w:eastAsia="Calibri" w:cs="Times New Roman"/>
          <w:sz w:val="24"/>
          <w:szCs w:val="24"/>
        </w:rPr>
        <w:t xml:space="preserve"> or 2</w:t>
      </w:r>
      <w:r w:rsidR="008E422E" w:rsidRPr="004A3649">
        <w:rPr>
          <w:rFonts w:eastAsia="Calibri" w:cs="Times New Roman"/>
          <w:sz w:val="24"/>
          <w:szCs w:val="24"/>
          <w:vertAlign w:val="superscript"/>
        </w:rPr>
        <w:t>ry</w:t>
      </w:r>
      <w:r w:rsidR="008E422E" w:rsidRPr="004A3649">
        <w:rPr>
          <w:rFonts w:eastAsia="Calibri" w:cs="Times New Roman"/>
          <w:sz w:val="24"/>
          <w:szCs w:val="24"/>
        </w:rPr>
        <w:t xml:space="preserve"> prophylaxis in patients receiv</w:t>
      </w:r>
      <w:r w:rsidRPr="004A3649">
        <w:rPr>
          <w:rFonts w:eastAsia="Calibri" w:cs="Times New Roman"/>
          <w:sz w:val="24"/>
          <w:szCs w:val="24"/>
        </w:rPr>
        <w:t>ing conventional chemotherapy.  There were also questions relating to s</w:t>
      </w:r>
      <w:r w:rsidR="008E422E" w:rsidRPr="004A3649">
        <w:rPr>
          <w:rFonts w:eastAsia="Calibri" w:cs="Times New Roman"/>
          <w:sz w:val="24"/>
          <w:szCs w:val="24"/>
        </w:rPr>
        <w:t>tarting and stopping criteria for G-CSF</w:t>
      </w:r>
      <w:r w:rsidR="00074E84">
        <w:rPr>
          <w:rFonts w:eastAsia="Calibri" w:cs="Times New Roman"/>
          <w:sz w:val="24"/>
          <w:szCs w:val="24"/>
        </w:rPr>
        <w:t xml:space="preserve"> in the post-</w:t>
      </w:r>
      <w:r w:rsidRPr="004A3649">
        <w:rPr>
          <w:rFonts w:eastAsia="Calibri" w:cs="Times New Roman"/>
          <w:sz w:val="24"/>
          <w:szCs w:val="24"/>
        </w:rPr>
        <w:t>transplant setting</w:t>
      </w:r>
      <w:r w:rsidR="00074E84">
        <w:rPr>
          <w:rFonts w:eastAsia="Calibri" w:cs="Times New Roman"/>
          <w:sz w:val="24"/>
          <w:szCs w:val="24"/>
        </w:rPr>
        <w:t xml:space="preserve">.  </w:t>
      </w:r>
      <w:r w:rsidRPr="004A3649">
        <w:rPr>
          <w:sz w:val="24"/>
          <w:szCs w:val="24"/>
        </w:rPr>
        <w:t>Responses were received from 25 UK centres.  Eighteen centres treated adult patients only, three were paediatric centres and four treated both adults and children.</w:t>
      </w:r>
    </w:p>
    <w:p w:rsidR="007479CE" w:rsidRPr="004A3649" w:rsidRDefault="007479CE" w:rsidP="007479CE">
      <w:pPr>
        <w:spacing w:after="0" w:line="240" w:lineRule="auto"/>
        <w:rPr>
          <w:sz w:val="24"/>
          <w:szCs w:val="24"/>
        </w:rPr>
      </w:pPr>
      <w:r w:rsidRPr="004A3649">
        <w:rPr>
          <w:sz w:val="24"/>
          <w:szCs w:val="24"/>
        </w:rPr>
        <w:t xml:space="preserve">Data relating to the choice of G-CSF for stem cell mobilisation are presented in table </w:t>
      </w:r>
      <w:r w:rsidR="008E422E" w:rsidRPr="004A3649">
        <w:rPr>
          <w:sz w:val="24"/>
          <w:szCs w:val="24"/>
        </w:rPr>
        <w:t>1</w:t>
      </w:r>
      <w:r w:rsidRPr="004A3649">
        <w:rPr>
          <w:sz w:val="24"/>
          <w:szCs w:val="24"/>
        </w:rPr>
        <w:t>:</w:t>
      </w:r>
    </w:p>
    <w:p w:rsidR="007479CE" w:rsidRPr="004A3649" w:rsidRDefault="007479CE" w:rsidP="007479CE">
      <w:pPr>
        <w:spacing w:after="0" w:line="240" w:lineRule="auto"/>
        <w:rPr>
          <w:sz w:val="24"/>
          <w:szCs w:val="24"/>
        </w:rPr>
      </w:pPr>
    </w:p>
    <w:p w:rsidR="007479CE" w:rsidRPr="004A3649" w:rsidRDefault="007479CE" w:rsidP="007479CE">
      <w:pPr>
        <w:spacing w:after="0" w:line="240" w:lineRule="auto"/>
        <w:rPr>
          <w:sz w:val="24"/>
          <w:szCs w:val="24"/>
        </w:rPr>
      </w:pPr>
      <w:r w:rsidRPr="004A3649">
        <w:rPr>
          <w:sz w:val="24"/>
          <w:szCs w:val="24"/>
        </w:rPr>
        <w:t xml:space="preserve">Table 1 – Breakdown of G-CSF usage for stem cell mobilisation </w:t>
      </w:r>
    </w:p>
    <w:tbl>
      <w:tblPr>
        <w:tblStyle w:val="TableGrid"/>
        <w:tblW w:w="0" w:type="auto"/>
        <w:tblLook w:val="04A0" w:firstRow="1" w:lastRow="0" w:firstColumn="1" w:lastColumn="0" w:noHBand="0" w:noVBand="1"/>
      </w:tblPr>
      <w:tblGrid>
        <w:gridCol w:w="1540"/>
        <w:gridCol w:w="1540"/>
        <w:gridCol w:w="1540"/>
        <w:gridCol w:w="2151"/>
        <w:gridCol w:w="1701"/>
      </w:tblGrid>
      <w:tr w:rsidR="007479CE" w:rsidRPr="004A3649" w:rsidTr="008E422E">
        <w:tc>
          <w:tcPr>
            <w:tcW w:w="1540" w:type="dxa"/>
          </w:tcPr>
          <w:p w:rsidR="007479CE" w:rsidRPr="004A3649" w:rsidRDefault="007479CE" w:rsidP="008E422E">
            <w:pPr>
              <w:rPr>
                <w:sz w:val="24"/>
                <w:szCs w:val="24"/>
              </w:rPr>
            </w:pPr>
          </w:p>
        </w:tc>
        <w:tc>
          <w:tcPr>
            <w:tcW w:w="1540" w:type="dxa"/>
            <w:vAlign w:val="center"/>
          </w:tcPr>
          <w:p w:rsidR="007479CE" w:rsidRPr="004A3649" w:rsidRDefault="007479CE" w:rsidP="008E422E">
            <w:pPr>
              <w:jc w:val="center"/>
              <w:rPr>
                <w:sz w:val="24"/>
                <w:szCs w:val="24"/>
              </w:rPr>
            </w:pPr>
            <w:proofErr w:type="spellStart"/>
            <w:r w:rsidRPr="004A3649">
              <w:rPr>
                <w:sz w:val="24"/>
                <w:szCs w:val="24"/>
              </w:rPr>
              <w:t>Neupogen</w:t>
            </w:r>
            <w:proofErr w:type="spellEnd"/>
            <w:r w:rsidRPr="004A3649">
              <w:rPr>
                <w:sz w:val="24"/>
                <w:szCs w:val="24"/>
              </w:rPr>
              <w:t>® used</w:t>
            </w:r>
          </w:p>
        </w:tc>
        <w:tc>
          <w:tcPr>
            <w:tcW w:w="1540" w:type="dxa"/>
            <w:vAlign w:val="center"/>
          </w:tcPr>
          <w:p w:rsidR="007479CE" w:rsidRPr="004A3649" w:rsidRDefault="007479CE" w:rsidP="008E422E">
            <w:pPr>
              <w:jc w:val="center"/>
              <w:rPr>
                <w:sz w:val="24"/>
                <w:szCs w:val="24"/>
              </w:rPr>
            </w:pPr>
            <w:proofErr w:type="spellStart"/>
            <w:r w:rsidRPr="004A3649">
              <w:rPr>
                <w:sz w:val="24"/>
                <w:szCs w:val="24"/>
              </w:rPr>
              <w:t>Granocyte</w:t>
            </w:r>
            <w:proofErr w:type="spellEnd"/>
            <w:r w:rsidRPr="004A3649">
              <w:rPr>
                <w:sz w:val="24"/>
                <w:szCs w:val="24"/>
              </w:rPr>
              <w:t>® used</w:t>
            </w:r>
          </w:p>
        </w:tc>
        <w:tc>
          <w:tcPr>
            <w:tcW w:w="2151" w:type="dxa"/>
            <w:vAlign w:val="center"/>
          </w:tcPr>
          <w:p w:rsidR="007479CE" w:rsidRPr="004A3649" w:rsidRDefault="007479CE" w:rsidP="008E422E">
            <w:pPr>
              <w:jc w:val="center"/>
              <w:rPr>
                <w:sz w:val="24"/>
                <w:szCs w:val="24"/>
              </w:rPr>
            </w:pPr>
            <w:r w:rsidRPr="004A3649">
              <w:rPr>
                <w:sz w:val="24"/>
                <w:szCs w:val="24"/>
              </w:rPr>
              <w:t xml:space="preserve">Both </w:t>
            </w:r>
            <w:proofErr w:type="spellStart"/>
            <w:r w:rsidRPr="004A3649">
              <w:rPr>
                <w:sz w:val="24"/>
                <w:szCs w:val="24"/>
              </w:rPr>
              <w:t>Neupogen</w:t>
            </w:r>
            <w:proofErr w:type="spellEnd"/>
            <w:r w:rsidRPr="004A3649">
              <w:rPr>
                <w:sz w:val="24"/>
                <w:szCs w:val="24"/>
              </w:rPr>
              <w:t xml:space="preserve">® and </w:t>
            </w:r>
            <w:proofErr w:type="spellStart"/>
            <w:r w:rsidRPr="004A3649">
              <w:rPr>
                <w:sz w:val="24"/>
                <w:szCs w:val="24"/>
              </w:rPr>
              <w:t>Granocyte</w:t>
            </w:r>
            <w:proofErr w:type="spellEnd"/>
            <w:r w:rsidRPr="004A3649">
              <w:rPr>
                <w:sz w:val="24"/>
                <w:szCs w:val="24"/>
              </w:rPr>
              <w:t>® used</w:t>
            </w:r>
          </w:p>
        </w:tc>
        <w:tc>
          <w:tcPr>
            <w:tcW w:w="1701" w:type="dxa"/>
            <w:vAlign w:val="center"/>
          </w:tcPr>
          <w:p w:rsidR="007479CE" w:rsidRPr="004A3649" w:rsidRDefault="007479CE" w:rsidP="008E422E">
            <w:pPr>
              <w:jc w:val="center"/>
              <w:rPr>
                <w:sz w:val="24"/>
                <w:szCs w:val="24"/>
              </w:rPr>
            </w:pPr>
            <w:r w:rsidRPr="004A3649">
              <w:rPr>
                <w:sz w:val="24"/>
                <w:szCs w:val="24"/>
              </w:rPr>
              <w:t xml:space="preserve">Biosimilar </w:t>
            </w:r>
            <w:proofErr w:type="spellStart"/>
            <w:r w:rsidRPr="004A3649">
              <w:rPr>
                <w:sz w:val="24"/>
                <w:szCs w:val="24"/>
              </w:rPr>
              <w:t>Filgrastim</w:t>
            </w:r>
            <w:proofErr w:type="spellEnd"/>
            <w:r w:rsidRPr="004A3649">
              <w:rPr>
                <w:sz w:val="24"/>
                <w:szCs w:val="24"/>
              </w:rPr>
              <w:t xml:space="preserve"> used</w:t>
            </w:r>
          </w:p>
        </w:tc>
      </w:tr>
      <w:tr w:rsidR="007479CE" w:rsidRPr="004A3649" w:rsidTr="008E422E">
        <w:tc>
          <w:tcPr>
            <w:tcW w:w="1540" w:type="dxa"/>
          </w:tcPr>
          <w:p w:rsidR="007479CE" w:rsidRPr="004A3649" w:rsidRDefault="007479CE" w:rsidP="008E422E">
            <w:pPr>
              <w:rPr>
                <w:sz w:val="24"/>
                <w:szCs w:val="24"/>
              </w:rPr>
            </w:pPr>
            <w:r w:rsidRPr="004A3649">
              <w:rPr>
                <w:sz w:val="24"/>
                <w:szCs w:val="24"/>
              </w:rPr>
              <w:t>Pre-autograft</w:t>
            </w:r>
          </w:p>
        </w:tc>
        <w:tc>
          <w:tcPr>
            <w:tcW w:w="1540" w:type="dxa"/>
            <w:vAlign w:val="center"/>
          </w:tcPr>
          <w:p w:rsidR="007479CE" w:rsidRPr="004A3649" w:rsidRDefault="007479CE" w:rsidP="008E422E">
            <w:pPr>
              <w:jc w:val="center"/>
              <w:rPr>
                <w:sz w:val="24"/>
                <w:szCs w:val="24"/>
              </w:rPr>
            </w:pPr>
            <w:r w:rsidRPr="004A3649">
              <w:rPr>
                <w:sz w:val="24"/>
                <w:szCs w:val="24"/>
              </w:rPr>
              <w:t>0%</w:t>
            </w:r>
          </w:p>
        </w:tc>
        <w:tc>
          <w:tcPr>
            <w:tcW w:w="1540" w:type="dxa"/>
            <w:vAlign w:val="center"/>
          </w:tcPr>
          <w:p w:rsidR="007479CE" w:rsidRPr="004A3649" w:rsidRDefault="007479CE" w:rsidP="008E422E">
            <w:pPr>
              <w:jc w:val="center"/>
              <w:rPr>
                <w:sz w:val="24"/>
                <w:szCs w:val="24"/>
              </w:rPr>
            </w:pPr>
            <w:r w:rsidRPr="004A3649">
              <w:rPr>
                <w:sz w:val="24"/>
                <w:szCs w:val="24"/>
              </w:rPr>
              <w:t>40%</w:t>
            </w:r>
          </w:p>
        </w:tc>
        <w:tc>
          <w:tcPr>
            <w:tcW w:w="2151" w:type="dxa"/>
            <w:vAlign w:val="center"/>
          </w:tcPr>
          <w:p w:rsidR="007479CE" w:rsidRPr="004A3649" w:rsidRDefault="007479CE" w:rsidP="008E422E">
            <w:pPr>
              <w:jc w:val="center"/>
              <w:rPr>
                <w:sz w:val="24"/>
                <w:szCs w:val="24"/>
              </w:rPr>
            </w:pPr>
            <w:r w:rsidRPr="004A3649">
              <w:rPr>
                <w:sz w:val="24"/>
                <w:szCs w:val="24"/>
              </w:rPr>
              <w:t>4%</w:t>
            </w:r>
          </w:p>
        </w:tc>
        <w:tc>
          <w:tcPr>
            <w:tcW w:w="1701" w:type="dxa"/>
            <w:vAlign w:val="center"/>
          </w:tcPr>
          <w:p w:rsidR="007479CE" w:rsidRPr="004A3649" w:rsidRDefault="007479CE" w:rsidP="008E422E">
            <w:pPr>
              <w:jc w:val="center"/>
              <w:rPr>
                <w:sz w:val="24"/>
                <w:szCs w:val="24"/>
              </w:rPr>
            </w:pPr>
            <w:r w:rsidRPr="004A3649">
              <w:rPr>
                <w:sz w:val="24"/>
                <w:szCs w:val="24"/>
              </w:rPr>
              <w:t>56%</w:t>
            </w:r>
          </w:p>
        </w:tc>
      </w:tr>
      <w:tr w:rsidR="007479CE" w:rsidRPr="004A3649" w:rsidTr="008E422E">
        <w:tc>
          <w:tcPr>
            <w:tcW w:w="1540" w:type="dxa"/>
          </w:tcPr>
          <w:p w:rsidR="007479CE" w:rsidRPr="004A3649" w:rsidRDefault="007479CE" w:rsidP="008E422E">
            <w:pPr>
              <w:rPr>
                <w:sz w:val="24"/>
                <w:szCs w:val="24"/>
              </w:rPr>
            </w:pPr>
            <w:r w:rsidRPr="004A3649">
              <w:rPr>
                <w:sz w:val="24"/>
                <w:szCs w:val="24"/>
              </w:rPr>
              <w:t>Pre-allograft</w:t>
            </w:r>
          </w:p>
        </w:tc>
        <w:tc>
          <w:tcPr>
            <w:tcW w:w="1540" w:type="dxa"/>
            <w:vAlign w:val="center"/>
          </w:tcPr>
          <w:p w:rsidR="007479CE" w:rsidRPr="004A3649" w:rsidRDefault="007479CE" w:rsidP="008E422E">
            <w:pPr>
              <w:jc w:val="center"/>
              <w:rPr>
                <w:sz w:val="24"/>
                <w:szCs w:val="24"/>
              </w:rPr>
            </w:pPr>
            <w:r w:rsidRPr="004A3649">
              <w:rPr>
                <w:sz w:val="24"/>
                <w:szCs w:val="24"/>
              </w:rPr>
              <w:t>12%</w:t>
            </w:r>
          </w:p>
        </w:tc>
        <w:tc>
          <w:tcPr>
            <w:tcW w:w="1540" w:type="dxa"/>
            <w:vAlign w:val="center"/>
          </w:tcPr>
          <w:p w:rsidR="007479CE" w:rsidRPr="004A3649" w:rsidRDefault="007479CE" w:rsidP="008E422E">
            <w:pPr>
              <w:jc w:val="center"/>
              <w:rPr>
                <w:sz w:val="24"/>
                <w:szCs w:val="24"/>
              </w:rPr>
            </w:pPr>
            <w:r w:rsidRPr="004A3649">
              <w:rPr>
                <w:sz w:val="24"/>
                <w:szCs w:val="24"/>
              </w:rPr>
              <w:t>60%</w:t>
            </w:r>
          </w:p>
        </w:tc>
        <w:tc>
          <w:tcPr>
            <w:tcW w:w="2151" w:type="dxa"/>
            <w:vAlign w:val="center"/>
          </w:tcPr>
          <w:p w:rsidR="007479CE" w:rsidRPr="004A3649" w:rsidRDefault="007479CE" w:rsidP="008E422E">
            <w:pPr>
              <w:jc w:val="center"/>
              <w:rPr>
                <w:sz w:val="24"/>
                <w:szCs w:val="24"/>
              </w:rPr>
            </w:pPr>
            <w:r w:rsidRPr="004A3649">
              <w:rPr>
                <w:sz w:val="24"/>
                <w:szCs w:val="24"/>
              </w:rPr>
              <w:t>16%</w:t>
            </w:r>
          </w:p>
        </w:tc>
        <w:tc>
          <w:tcPr>
            <w:tcW w:w="1701" w:type="dxa"/>
            <w:vAlign w:val="center"/>
          </w:tcPr>
          <w:p w:rsidR="007479CE" w:rsidRPr="004A3649" w:rsidRDefault="007479CE" w:rsidP="008E422E">
            <w:pPr>
              <w:jc w:val="center"/>
              <w:rPr>
                <w:sz w:val="24"/>
                <w:szCs w:val="24"/>
              </w:rPr>
            </w:pPr>
            <w:r w:rsidRPr="004A3649">
              <w:rPr>
                <w:sz w:val="24"/>
                <w:szCs w:val="24"/>
              </w:rPr>
              <w:t>12%</w:t>
            </w:r>
          </w:p>
        </w:tc>
      </w:tr>
    </w:tbl>
    <w:p w:rsidR="007479CE" w:rsidRPr="004A3649" w:rsidRDefault="007479CE" w:rsidP="007479CE">
      <w:pPr>
        <w:spacing w:after="0" w:line="240" w:lineRule="auto"/>
        <w:rPr>
          <w:sz w:val="24"/>
          <w:szCs w:val="24"/>
        </w:rPr>
      </w:pPr>
    </w:p>
    <w:p w:rsidR="007479CE" w:rsidRPr="004A3649" w:rsidRDefault="007479CE" w:rsidP="007479CE">
      <w:pPr>
        <w:spacing w:after="0" w:line="240" w:lineRule="auto"/>
        <w:rPr>
          <w:sz w:val="24"/>
          <w:szCs w:val="24"/>
        </w:rPr>
      </w:pPr>
      <w:r w:rsidRPr="004A3649">
        <w:rPr>
          <w:sz w:val="24"/>
          <w:szCs w:val="24"/>
        </w:rPr>
        <w:t>In the post-transplant setting, 13 centres (52%) routinely used G-CSF for all patients and 2 centres (8%) did not give it to any patients.  The remaining 10 centres used G-CSF in specific clinical circumstances.  For example, five centres routinely used G-CSF in autograft recipients but not in allograft recipients.  In those centres that used post-transplant G-CSF, the start date was most commonly 5-7 days after stem cell return but ranged from 1-14 days. The majority (77%) of respondents stopped G-CSF once the absolute neutrophil count (ANC) was &gt;1x10</w:t>
      </w:r>
      <w:r w:rsidRPr="004A3649">
        <w:rPr>
          <w:sz w:val="24"/>
          <w:szCs w:val="24"/>
          <w:vertAlign w:val="superscript"/>
        </w:rPr>
        <w:t>9</w:t>
      </w:r>
      <w:r w:rsidRPr="004A3649">
        <w:rPr>
          <w:sz w:val="24"/>
          <w:szCs w:val="24"/>
        </w:rPr>
        <w:t>/l for 1-3 days although the cut-off ranged from 0.5-3x10</w:t>
      </w:r>
      <w:r w:rsidRPr="004A3649">
        <w:rPr>
          <w:sz w:val="24"/>
          <w:szCs w:val="24"/>
          <w:vertAlign w:val="superscript"/>
        </w:rPr>
        <w:t>9</w:t>
      </w:r>
      <w:r w:rsidRPr="004A3649">
        <w:rPr>
          <w:sz w:val="24"/>
          <w:szCs w:val="24"/>
        </w:rPr>
        <w:t>/l.  87% of centres used biosimilar G-CSF in this setting.</w:t>
      </w:r>
    </w:p>
    <w:p w:rsidR="007479CE" w:rsidRPr="004A3649" w:rsidRDefault="007479CE" w:rsidP="007479CE">
      <w:pPr>
        <w:spacing w:after="0" w:line="240" w:lineRule="auto"/>
        <w:rPr>
          <w:sz w:val="24"/>
          <w:szCs w:val="24"/>
        </w:rPr>
      </w:pPr>
      <w:r w:rsidRPr="004A3649">
        <w:rPr>
          <w:sz w:val="24"/>
          <w:szCs w:val="24"/>
        </w:rPr>
        <w:t>For 1</w:t>
      </w:r>
      <w:r w:rsidRPr="004A3649">
        <w:rPr>
          <w:sz w:val="24"/>
          <w:szCs w:val="24"/>
          <w:vertAlign w:val="superscript"/>
        </w:rPr>
        <w:t>ry</w:t>
      </w:r>
      <w:r w:rsidRPr="004A3649">
        <w:rPr>
          <w:sz w:val="24"/>
          <w:szCs w:val="24"/>
        </w:rPr>
        <w:t xml:space="preserve"> or 2</w:t>
      </w:r>
      <w:r w:rsidRPr="004A3649">
        <w:rPr>
          <w:sz w:val="24"/>
          <w:szCs w:val="24"/>
          <w:vertAlign w:val="superscript"/>
        </w:rPr>
        <w:t>ry</w:t>
      </w:r>
      <w:r w:rsidRPr="004A3649">
        <w:rPr>
          <w:sz w:val="24"/>
          <w:szCs w:val="24"/>
        </w:rPr>
        <w:t xml:space="preserve"> prophylaxis in patients receiving conventional chemotherapy, all but one adult centre used biosimilar </w:t>
      </w:r>
      <w:proofErr w:type="spellStart"/>
      <w:r w:rsidRPr="004A3649">
        <w:rPr>
          <w:sz w:val="24"/>
          <w:szCs w:val="24"/>
        </w:rPr>
        <w:t>filgrastim</w:t>
      </w:r>
      <w:proofErr w:type="spellEnd"/>
      <w:r w:rsidRPr="004A3649">
        <w:rPr>
          <w:sz w:val="24"/>
          <w:szCs w:val="24"/>
        </w:rPr>
        <w:t xml:space="preserve"> for some or all of their patients.  The 3 paediatric centres all used </w:t>
      </w:r>
      <w:proofErr w:type="spellStart"/>
      <w:r w:rsidRPr="004A3649">
        <w:rPr>
          <w:sz w:val="24"/>
          <w:szCs w:val="24"/>
        </w:rPr>
        <w:t>Granocyte</w:t>
      </w:r>
      <w:proofErr w:type="spellEnd"/>
      <w:r w:rsidRPr="004A3649">
        <w:rPr>
          <w:sz w:val="24"/>
          <w:szCs w:val="24"/>
        </w:rPr>
        <w:t xml:space="preserve">® and 2 adult centres used </w:t>
      </w:r>
      <w:proofErr w:type="spellStart"/>
      <w:r w:rsidRPr="004A3649">
        <w:rPr>
          <w:sz w:val="24"/>
          <w:szCs w:val="24"/>
        </w:rPr>
        <w:t>pegfilgrastim</w:t>
      </w:r>
      <w:proofErr w:type="spellEnd"/>
      <w:r w:rsidRPr="004A3649">
        <w:rPr>
          <w:sz w:val="24"/>
          <w:szCs w:val="24"/>
        </w:rPr>
        <w:t xml:space="preserve"> in some patients.</w:t>
      </w:r>
    </w:p>
    <w:p w:rsidR="007479CE" w:rsidRPr="004A3649" w:rsidRDefault="007479CE" w:rsidP="00C32798">
      <w:pPr>
        <w:spacing w:after="0" w:line="240" w:lineRule="auto"/>
        <w:rPr>
          <w:rFonts w:eastAsia="Calibri" w:cs="Times New Roman"/>
          <w:sz w:val="24"/>
          <w:szCs w:val="24"/>
        </w:rPr>
      </w:pPr>
    </w:p>
    <w:p w:rsidR="00ED7AAB" w:rsidRPr="004A3649" w:rsidRDefault="008E422E" w:rsidP="00C32798">
      <w:pPr>
        <w:spacing w:after="0" w:line="240" w:lineRule="auto"/>
        <w:rPr>
          <w:rFonts w:eastAsia="Calibri" w:cs="Times New Roman"/>
          <w:sz w:val="24"/>
          <w:szCs w:val="24"/>
        </w:rPr>
      </w:pPr>
      <w:r w:rsidRPr="004A3649">
        <w:rPr>
          <w:rFonts w:eastAsia="Calibri" w:cs="Times New Roman"/>
          <w:sz w:val="24"/>
          <w:szCs w:val="24"/>
        </w:rPr>
        <w:t>Nick commented that he was aware of at least 2 centres (UHB and UCLH)</w:t>
      </w:r>
      <w:r w:rsidR="000604D7">
        <w:rPr>
          <w:rFonts w:eastAsia="Calibri" w:cs="Times New Roman"/>
          <w:sz w:val="24"/>
          <w:szCs w:val="24"/>
        </w:rPr>
        <w:t xml:space="preserve"> that</w:t>
      </w:r>
      <w:r w:rsidR="004A3649" w:rsidRPr="004A3649">
        <w:rPr>
          <w:rFonts w:eastAsia="Calibri" w:cs="Times New Roman"/>
          <w:sz w:val="24"/>
          <w:szCs w:val="24"/>
        </w:rPr>
        <w:t xml:space="preserve"> had </w:t>
      </w:r>
      <w:r w:rsidR="000604D7">
        <w:rPr>
          <w:rFonts w:eastAsia="Calibri" w:cs="Times New Roman"/>
          <w:sz w:val="24"/>
          <w:szCs w:val="24"/>
        </w:rPr>
        <w:t xml:space="preserve">recently </w:t>
      </w:r>
      <w:r w:rsidR="004A3649" w:rsidRPr="004A3649">
        <w:rPr>
          <w:rFonts w:eastAsia="Calibri" w:cs="Times New Roman"/>
          <w:sz w:val="24"/>
          <w:szCs w:val="24"/>
        </w:rPr>
        <w:t>changed to biosimilar G</w:t>
      </w:r>
      <w:r w:rsidRPr="004A3649">
        <w:rPr>
          <w:rFonts w:eastAsia="Calibri" w:cs="Times New Roman"/>
          <w:sz w:val="24"/>
          <w:szCs w:val="24"/>
        </w:rPr>
        <w:t xml:space="preserve">-CSF for stem cell mobilisation in the autograft setting and </w:t>
      </w:r>
      <w:r w:rsidR="004A3649" w:rsidRPr="004A3649">
        <w:rPr>
          <w:rFonts w:eastAsia="Calibri" w:cs="Times New Roman"/>
          <w:sz w:val="24"/>
          <w:szCs w:val="24"/>
        </w:rPr>
        <w:t xml:space="preserve">suggested that it might be worth repeating at least part of the survey next year to see if there has been a </w:t>
      </w:r>
      <w:r w:rsidR="005C16B7">
        <w:rPr>
          <w:rFonts w:eastAsia="Calibri" w:cs="Times New Roman"/>
          <w:sz w:val="24"/>
          <w:szCs w:val="24"/>
        </w:rPr>
        <w:t xml:space="preserve">significant </w:t>
      </w:r>
      <w:r w:rsidR="004A3649" w:rsidRPr="004A3649">
        <w:rPr>
          <w:rFonts w:eastAsia="Calibri" w:cs="Times New Roman"/>
          <w:sz w:val="24"/>
          <w:szCs w:val="24"/>
        </w:rPr>
        <w:t>shift in favour of biosimilar G-CSF for mobilisation.</w:t>
      </w:r>
    </w:p>
    <w:p w:rsidR="00264E88" w:rsidRDefault="00264E88" w:rsidP="00C32798">
      <w:pPr>
        <w:spacing w:after="0" w:line="240" w:lineRule="auto"/>
        <w:rPr>
          <w:rFonts w:eastAsia="Calibri" w:cs="Times New Roman"/>
          <w:b/>
          <w:bCs/>
          <w:sz w:val="28"/>
          <w:szCs w:val="32"/>
        </w:rPr>
      </w:pPr>
    </w:p>
    <w:p w:rsidR="00264E88" w:rsidRDefault="00264E88" w:rsidP="00C32798">
      <w:pPr>
        <w:spacing w:after="0" w:line="240" w:lineRule="auto"/>
        <w:rPr>
          <w:rFonts w:eastAsia="Calibri" w:cs="Times New Roman"/>
          <w:b/>
          <w:bCs/>
          <w:sz w:val="28"/>
          <w:szCs w:val="32"/>
        </w:rPr>
      </w:pPr>
    </w:p>
    <w:p w:rsidR="00264E88" w:rsidRDefault="00264E88" w:rsidP="00C32798">
      <w:pPr>
        <w:spacing w:after="0" w:line="240" w:lineRule="auto"/>
        <w:rPr>
          <w:rFonts w:eastAsia="Calibri" w:cs="Times New Roman"/>
          <w:b/>
          <w:bCs/>
          <w:sz w:val="28"/>
          <w:szCs w:val="32"/>
        </w:rPr>
      </w:pPr>
    </w:p>
    <w:p w:rsidR="00E119A4" w:rsidRDefault="00E119A4" w:rsidP="00C32798">
      <w:pPr>
        <w:spacing w:after="0" w:line="240" w:lineRule="auto"/>
        <w:rPr>
          <w:rFonts w:eastAsia="Calibri" w:cs="Times New Roman"/>
          <w:b/>
          <w:bCs/>
          <w:sz w:val="28"/>
          <w:szCs w:val="32"/>
        </w:rPr>
      </w:pPr>
    </w:p>
    <w:p w:rsidR="00264E88" w:rsidRDefault="00264E88" w:rsidP="00C32798">
      <w:pPr>
        <w:spacing w:after="0" w:line="240" w:lineRule="auto"/>
        <w:rPr>
          <w:rFonts w:eastAsia="Calibri" w:cs="Times New Roman"/>
          <w:b/>
          <w:bCs/>
          <w:sz w:val="28"/>
          <w:szCs w:val="32"/>
        </w:rPr>
      </w:pPr>
    </w:p>
    <w:p w:rsidR="00264E88" w:rsidRDefault="00264E88" w:rsidP="00C32798">
      <w:pPr>
        <w:spacing w:after="0" w:line="240" w:lineRule="auto"/>
        <w:rPr>
          <w:rFonts w:eastAsia="Calibri" w:cs="Times New Roman"/>
          <w:b/>
          <w:bCs/>
          <w:sz w:val="28"/>
          <w:szCs w:val="32"/>
        </w:rPr>
      </w:pPr>
    </w:p>
    <w:p w:rsidR="00264E88" w:rsidRDefault="00264E88" w:rsidP="00C32798">
      <w:pPr>
        <w:spacing w:after="0" w:line="240" w:lineRule="auto"/>
        <w:rPr>
          <w:rFonts w:eastAsia="Calibri" w:cs="Times New Roman"/>
          <w:b/>
          <w:bCs/>
          <w:sz w:val="28"/>
          <w:szCs w:val="32"/>
        </w:rPr>
      </w:pPr>
    </w:p>
    <w:p w:rsidR="00A74BB8" w:rsidRDefault="00A74BB8" w:rsidP="00C32798">
      <w:pPr>
        <w:spacing w:after="0" w:line="240" w:lineRule="auto"/>
        <w:rPr>
          <w:rFonts w:eastAsia="Calibri" w:cs="Times New Roman"/>
          <w:sz w:val="28"/>
          <w:szCs w:val="32"/>
        </w:rPr>
      </w:pPr>
    </w:p>
    <w:p w:rsidR="00A74BB8" w:rsidRDefault="00A74BB8" w:rsidP="00C32798">
      <w:pPr>
        <w:spacing w:after="0" w:line="240" w:lineRule="auto"/>
        <w:rPr>
          <w:rFonts w:eastAsia="Calibri" w:cs="Times New Roman"/>
          <w:sz w:val="28"/>
          <w:szCs w:val="32"/>
        </w:rPr>
      </w:pPr>
    </w:p>
    <w:p w:rsidR="00A74BB8" w:rsidRDefault="00A74BB8" w:rsidP="00C32798">
      <w:pPr>
        <w:spacing w:after="0" w:line="240" w:lineRule="auto"/>
        <w:rPr>
          <w:rFonts w:eastAsia="Calibri" w:cs="Times New Roman"/>
          <w:sz w:val="28"/>
          <w:szCs w:val="32"/>
        </w:rPr>
      </w:pPr>
    </w:p>
    <w:p w:rsidR="00ED7AAB" w:rsidRPr="00AE6CD7" w:rsidRDefault="00ED7AAB" w:rsidP="00C32798">
      <w:pPr>
        <w:spacing w:after="0" w:line="240" w:lineRule="auto"/>
        <w:rPr>
          <w:rFonts w:eastAsia="Calibri" w:cs="Times New Roman"/>
          <w:b/>
          <w:sz w:val="28"/>
          <w:szCs w:val="32"/>
        </w:rPr>
      </w:pPr>
      <w:r w:rsidRPr="00AE6CD7">
        <w:rPr>
          <w:rFonts w:eastAsia="Calibri" w:cs="Times New Roman"/>
          <w:b/>
          <w:bCs/>
          <w:sz w:val="28"/>
          <w:szCs w:val="32"/>
        </w:rPr>
        <w:lastRenderedPageBreak/>
        <w:t>The BMT Pharmacist Forum moving forward -   What Happens Next?</w:t>
      </w:r>
    </w:p>
    <w:p w:rsidR="003C12C5" w:rsidRPr="003C12C5" w:rsidRDefault="00ED7AAB" w:rsidP="00C32798">
      <w:pPr>
        <w:spacing w:after="0" w:line="240" w:lineRule="auto"/>
        <w:jc w:val="both"/>
        <w:rPr>
          <w:b/>
          <w:sz w:val="28"/>
          <w:szCs w:val="28"/>
        </w:rPr>
      </w:pPr>
      <w:r w:rsidRPr="00AE6CD7">
        <w:rPr>
          <w:rFonts w:eastAsia="Calibri" w:cs="Times New Roman"/>
          <w:sz w:val="24"/>
          <w:szCs w:val="28"/>
        </w:rPr>
        <w:t>Eamon O’Brien</w:t>
      </w:r>
      <w:r w:rsidR="005C16B7">
        <w:rPr>
          <w:rFonts w:eastAsia="Calibri" w:cs="Times New Roman"/>
          <w:sz w:val="24"/>
          <w:szCs w:val="28"/>
        </w:rPr>
        <w:t>.</w:t>
      </w:r>
      <w:r w:rsidR="00C32798" w:rsidRPr="00C32798">
        <w:rPr>
          <w:rFonts w:eastAsia="Calibri" w:cs="Times New Roman"/>
          <w:sz w:val="24"/>
          <w:szCs w:val="24"/>
        </w:rPr>
        <w:t xml:space="preserve"> </w:t>
      </w:r>
      <w:r w:rsidR="005C16B7">
        <w:rPr>
          <w:sz w:val="24"/>
          <w:szCs w:val="24"/>
          <w:lang w:eastAsia="en-GB"/>
        </w:rPr>
        <w:t xml:space="preserve">CR&amp;C Organisation Limited, </w:t>
      </w:r>
      <w:r w:rsidR="00C32798" w:rsidRPr="00C32798">
        <w:rPr>
          <w:sz w:val="24"/>
          <w:szCs w:val="24"/>
          <w:lang w:eastAsia="en-GB"/>
        </w:rPr>
        <w:t>Executive Coaching and Facilitation</w:t>
      </w:r>
    </w:p>
    <w:p w:rsidR="00C32798" w:rsidRDefault="00C32798" w:rsidP="00C32798">
      <w:pPr>
        <w:spacing w:after="0" w:line="240" w:lineRule="auto"/>
        <w:jc w:val="both"/>
        <w:rPr>
          <w:sz w:val="24"/>
          <w:szCs w:val="24"/>
        </w:rPr>
      </w:pPr>
    </w:p>
    <w:p w:rsidR="003C12C5" w:rsidRPr="00E119A4" w:rsidRDefault="00C32798" w:rsidP="00E119A4">
      <w:pPr>
        <w:spacing w:after="0" w:line="240" w:lineRule="auto"/>
        <w:jc w:val="both"/>
        <w:rPr>
          <w:sz w:val="24"/>
          <w:szCs w:val="24"/>
        </w:rPr>
      </w:pPr>
      <w:r>
        <w:rPr>
          <w:sz w:val="24"/>
          <w:szCs w:val="24"/>
        </w:rPr>
        <w:t>Eamon f</w:t>
      </w:r>
      <w:r w:rsidR="00A74BB8">
        <w:rPr>
          <w:sz w:val="24"/>
          <w:szCs w:val="24"/>
        </w:rPr>
        <w:t>acilitated a discussion session involving all participants.  The following slide (</w:t>
      </w:r>
      <w:r>
        <w:rPr>
          <w:sz w:val="24"/>
          <w:szCs w:val="24"/>
        </w:rPr>
        <w:t xml:space="preserve">provided by Eamon) summarises the main outputs of the discussion. </w:t>
      </w:r>
    </w:p>
    <w:p w:rsidR="003C12C5" w:rsidRPr="003C12C5" w:rsidRDefault="003C12C5" w:rsidP="003C12C5">
      <w:pPr>
        <w:spacing w:after="0" w:line="240" w:lineRule="auto"/>
        <w:jc w:val="center"/>
        <w:rPr>
          <w:b/>
          <w:sz w:val="28"/>
          <w:szCs w:val="28"/>
        </w:rPr>
      </w:pPr>
    </w:p>
    <w:p w:rsidR="00E119A4" w:rsidRDefault="00E119A4" w:rsidP="00E119A4">
      <w:pPr>
        <w:spacing w:after="0" w:line="240" w:lineRule="auto"/>
        <w:jc w:val="both"/>
        <w:rPr>
          <w:sz w:val="24"/>
          <w:szCs w:val="24"/>
        </w:rPr>
      </w:pPr>
      <w:r w:rsidRPr="003C12C5">
        <w:rPr>
          <w:noProof/>
          <w:lang w:eastAsia="en-GB"/>
        </w:rPr>
        <w:drawing>
          <wp:inline distT="0" distB="0" distL="0" distR="0" wp14:anchorId="34D3F439" wp14:editId="424CFB0F">
            <wp:extent cx="5724554" cy="3781425"/>
            <wp:effectExtent l="19050" t="19050" r="2857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731510" cy="3786020"/>
                    </a:xfrm>
                    <a:prstGeom prst="rect">
                      <a:avLst/>
                    </a:prstGeom>
                    <a:ln w="19050">
                      <a:solidFill>
                        <a:schemeClr val="accent1"/>
                      </a:solidFill>
                    </a:ln>
                  </pic:spPr>
                </pic:pic>
              </a:graphicData>
            </a:graphic>
          </wp:inline>
        </w:drawing>
      </w:r>
    </w:p>
    <w:p w:rsidR="00E119A4" w:rsidRDefault="00E119A4" w:rsidP="00E119A4">
      <w:pPr>
        <w:spacing w:after="0" w:line="240" w:lineRule="auto"/>
        <w:jc w:val="both"/>
        <w:rPr>
          <w:sz w:val="24"/>
          <w:szCs w:val="24"/>
        </w:rPr>
      </w:pPr>
    </w:p>
    <w:p w:rsidR="00E119A4" w:rsidRDefault="00E119A4" w:rsidP="00E119A4">
      <w:pPr>
        <w:spacing w:after="0" w:line="240" w:lineRule="auto"/>
        <w:jc w:val="both"/>
        <w:rPr>
          <w:sz w:val="24"/>
          <w:szCs w:val="24"/>
        </w:rPr>
      </w:pPr>
      <w:r>
        <w:rPr>
          <w:sz w:val="24"/>
          <w:szCs w:val="24"/>
        </w:rPr>
        <w:t>In terms of what happens next:</w:t>
      </w:r>
    </w:p>
    <w:p w:rsidR="00E119A4" w:rsidRDefault="00E119A4" w:rsidP="00E119A4">
      <w:pPr>
        <w:pStyle w:val="ListParagraph"/>
        <w:numPr>
          <w:ilvl w:val="0"/>
          <w:numId w:val="1"/>
        </w:numPr>
        <w:spacing w:after="0" w:line="240" w:lineRule="auto"/>
        <w:jc w:val="both"/>
        <w:rPr>
          <w:sz w:val="24"/>
          <w:szCs w:val="24"/>
        </w:rPr>
      </w:pPr>
      <w:r>
        <w:rPr>
          <w:sz w:val="24"/>
          <w:szCs w:val="24"/>
        </w:rPr>
        <w:t>Nadjoua to contact Jenny Byrne (chair of BSBMT) to explore potential to work together</w:t>
      </w:r>
    </w:p>
    <w:p w:rsidR="00E119A4" w:rsidRDefault="00E119A4" w:rsidP="00E119A4">
      <w:pPr>
        <w:pStyle w:val="ListParagraph"/>
        <w:numPr>
          <w:ilvl w:val="0"/>
          <w:numId w:val="1"/>
        </w:numPr>
        <w:spacing w:after="0" w:line="240" w:lineRule="auto"/>
        <w:jc w:val="both"/>
        <w:rPr>
          <w:sz w:val="24"/>
          <w:szCs w:val="24"/>
        </w:rPr>
      </w:pPr>
      <w:r>
        <w:rPr>
          <w:sz w:val="24"/>
          <w:szCs w:val="24"/>
        </w:rPr>
        <w:t>Simon to engage in similar conversations with Pinkie Chambers from BOPA</w:t>
      </w:r>
    </w:p>
    <w:p w:rsidR="00E119A4" w:rsidRDefault="00E119A4" w:rsidP="00E119A4">
      <w:pPr>
        <w:pStyle w:val="ListParagraph"/>
        <w:numPr>
          <w:ilvl w:val="0"/>
          <w:numId w:val="1"/>
        </w:numPr>
        <w:spacing w:after="0" w:line="240" w:lineRule="auto"/>
        <w:jc w:val="both"/>
        <w:rPr>
          <w:sz w:val="24"/>
          <w:szCs w:val="24"/>
        </w:rPr>
      </w:pPr>
      <w:r>
        <w:rPr>
          <w:sz w:val="24"/>
          <w:szCs w:val="24"/>
        </w:rPr>
        <w:t>Nick to invite representative from POP group to next meeting to present on their experience with setting up their group</w:t>
      </w:r>
    </w:p>
    <w:p w:rsidR="00E119A4" w:rsidRDefault="00E119A4" w:rsidP="00E119A4">
      <w:pPr>
        <w:pStyle w:val="ListParagraph"/>
        <w:numPr>
          <w:ilvl w:val="0"/>
          <w:numId w:val="1"/>
        </w:numPr>
        <w:spacing w:after="0" w:line="240" w:lineRule="auto"/>
        <w:jc w:val="both"/>
        <w:rPr>
          <w:sz w:val="24"/>
          <w:szCs w:val="24"/>
        </w:rPr>
      </w:pPr>
      <w:r>
        <w:rPr>
          <w:sz w:val="24"/>
          <w:szCs w:val="24"/>
        </w:rPr>
        <w:t>Further discussion to take place at next Forum</w:t>
      </w:r>
    </w:p>
    <w:p w:rsidR="00E119A4" w:rsidRPr="00C32798" w:rsidRDefault="00E119A4" w:rsidP="00E119A4">
      <w:pPr>
        <w:pStyle w:val="ListParagraph"/>
        <w:spacing w:after="0" w:line="240" w:lineRule="auto"/>
        <w:ind w:left="420"/>
        <w:jc w:val="both"/>
        <w:rPr>
          <w:sz w:val="24"/>
          <w:szCs w:val="24"/>
        </w:rPr>
      </w:pPr>
    </w:p>
    <w:p w:rsidR="003C12C5" w:rsidRDefault="003C12C5"/>
    <w:p w:rsidR="00E119A4" w:rsidRDefault="00E119A4"/>
    <w:p w:rsidR="00E119A4" w:rsidRDefault="00E119A4"/>
    <w:p w:rsidR="00E119A4" w:rsidRDefault="00E119A4"/>
    <w:p w:rsidR="00E119A4" w:rsidRDefault="00E119A4"/>
    <w:p w:rsidR="00E119A4" w:rsidRDefault="00E119A4"/>
    <w:p w:rsidR="00E119A4" w:rsidRPr="00E119A4" w:rsidRDefault="00E119A4">
      <w:pPr>
        <w:rPr>
          <w:i/>
          <w:sz w:val="20"/>
          <w:szCs w:val="20"/>
        </w:rPr>
      </w:pPr>
      <w:r w:rsidRPr="00E119A4">
        <w:rPr>
          <w:i/>
          <w:sz w:val="20"/>
          <w:szCs w:val="20"/>
        </w:rPr>
        <w:t>Report written by Nick Duncan, December 2017</w:t>
      </w:r>
    </w:p>
    <w:sectPr w:rsidR="00E119A4" w:rsidRPr="00E119A4" w:rsidSect="00BD2D73">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6B7" w:rsidRDefault="005C16B7" w:rsidP="00BB6BCD">
      <w:pPr>
        <w:spacing w:after="0" w:line="240" w:lineRule="auto"/>
      </w:pPr>
      <w:r>
        <w:separator/>
      </w:r>
    </w:p>
  </w:endnote>
  <w:endnote w:type="continuationSeparator" w:id="0">
    <w:p w:rsidR="005C16B7" w:rsidRDefault="005C16B7" w:rsidP="00BB6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4104636"/>
      <w:docPartObj>
        <w:docPartGallery w:val="Page Numbers (Bottom of Page)"/>
        <w:docPartUnique/>
      </w:docPartObj>
    </w:sdtPr>
    <w:sdtEndPr>
      <w:rPr>
        <w:noProof/>
      </w:rPr>
    </w:sdtEndPr>
    <w:sdtContent>
      <w:p w:rsidR="005C16B7" w:rsidRDefault="005C16B7">
        <w:pPr>
          <w:pStyle w:val="Footer"/>
          <w:jc w:val="right"/>
        </w:pPr>
        <w:r>
          <w:fldChar w:fldCharType="begin"/>
        </w:r>
        <w:r>
          <w:instrText xml:space="preserve"> PAGE   \* MERGEFORMAT </w:instrText>
        </w:r>
        <w:r>
          <w:fldChar w:fldCharType="separate"/>
        </w:r>
        <w:r w:rsidR="00E119A4">
          <w:rPr>
            <w:noProof/>
          </w:rPr>
          <w:t>1</w:t>
        </w:r>
        <w:r>
          <w:rPr>
            <w:noProof/>
          </w:rPr>
          <w:fldChar w:fldCharType="end"/>
        </w:r>
      </w:p>
    </w:sdtContent>
  </w:sdt>
  <w:p w:rsidR="005C16B7" w:rsidRDefault="005C16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6B7" w:rsidRDefault="005C16B7" w:rsidP="00BB6BCD">
      <w:pPr>
        <w:spacing w:after="0" w:line="240" w:lineRule="auto"/>
      </w:pPr>
      <w:r>
        <w:separator/>
      </w:r>
    </w:p>
  </w:footnote>
  <w:footnote w:type="continuationSeparator" w:id="0">
    <w:p w:rsidR="005C16B7" w:rsidRDefault="005C16B7" w:rsidP="00BB6B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442E5D"/>
    <w:multiLevelType w:val="hybridMultilevel"/>
    <w:tmpl w:val="D5466CF6"/>
    <w:lvl w:ilvl="0" w:tplc="571C4544">
      <w:start w:val="7"/>
      <w:numFmt w:val="bullet"/>
      <w:lvlText w:val="-"/>
      <w:lvlJc w:val="left"/>
      <w:pPr>
        <w:ind w:left="420" w:hanging="360"/>
      </w:pPr>
      <w:rPr>
        <w:rFonts w:ascii="Calibri" w:eastAsiaTheme="minorHAnsi" w:hAnsi="Calibri"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nsid w:val="67341241"/>
    <w:multiLevelType w:val="hybridMultilevel"/>
    <w:tmpl w:val="DCC8897E"/>
    <w:lvl w:ilvl="0" w:tplc="4148DE38">
      <w:start w:val="1"/>
      <w:numFmt w:val="bullet"/>
      <w:lvlText w:val="–"/>
      <w:lvlJc w:val="left"/>
      <w:pPr>
        <w:tabs>
          <w:tab w:val="num" w:pos="720"/>
        </w:tabs>
        <w:ind w:left="720" w:hanging="360"/>
      </w:pPr>
      <w:rPr>
        <w:rFonts w:ascii="Times New Roman" w:hAnsi="Times New Roman" w:hint="default"/>
      </w:rPr>
    </w:lvl>
    <w:lvl w:ilvl="1" w:tplc="863AF65C">
      <w:start w:val="1"/>
      <w:numFmt w:val="bullet"/>
      <w:lvlText w:val="–"/>
      <w:lvlJc w:val="left"/>
      <w:pPr>
        <w:tabs>
          <w:tab w:val="num" w:pos="1440"/>
        </w:tabs>
        <w:ind w:left="1440" w:hanging="360"/>
      </w:pPr>
      <w:rPr>
        <w:rFonts w:ascii="Times New Roman" w:hAnsi="Times New Roman" w:hint="default"/>
      </w:rPr>
    </w:lvl>
    <w:lvl w:ilvl="2" w:tplc="EA6A9268" w:tentative="1">
      <w:start w:val="1"/>
      <w:numFmt w:val="bullet"/>
      <w:lvlText w:val="–"/>
      <w:lvlJc w:val="left"/>
      <w:pPr>
        <w:tabs>
          <w:tab w:val="num" w:pos="2160"/>
        </w:tabs>
        <w:ind w:left="2160" w:hanging="360"/>
      </w:pPr>
      <w:rPr>
        <w:rFonts w:ascii="Times New Roman" w:hAnsi="Times New Roman" w:hint="default"/>
      </w:rPr>
    </w:lvl>
    <w:lvl w:ilvl="3" w:tplc="449C946C" w:tentative="1">
      <w:start w:val="1"/>
      <w:numFmt w:val="bullet"/>
      <w:lvlText w:val="–"/>
      <w:lvlJc w:val="left"/>
      <w:pPr>
        <w:tabs>
          <w:tab w:val="num" w:pos="2880"/>
        </w:tabs>
        <w:ind w:left="2880" w:hanging="360"/>
      </w:pPr>
      <w:rPr>
        <w:rFonts w:ascii="Times New Roman" w:hAnsi="Times New Roman" w:hint="default"/>
      </w:rPr>
    </w:lvl>
    <w:lvl w:ilvl="4" w:tplc="836E9606" w:tentative="1">
      <w:start w:val="1"/>
      <w:numFmt w:val="bullet"/>
      <w:lvlText w:val="–"/>
      <w:lvlJc w:val="left"/>
      <w:pPr>
        <w:tabs>
          <w:tab w:val="num" w:pos="3600"/>
        </w:tabs>
        <w:ind w:left="3600" w:hanging="360"/>
      </w:pPr>
      <w:rPr>
        <w:rFonts w:ascii="Times New Roman" w:hAnsi="Times New Roman" w:hint="default"/>
      </w:rPr>
    </w:lvl>
    <w:lvl w:ilvl="5" w:tplc="F69A385C" w:tentative="1">
      <w:start w:val="1"/>
      <w:numFmt w:val="bullet"/>
      <w:lvlText w:val="–"/>
      <w:lvlJc w:val="left"/>
      <w:pPr>
        <w:tabs>
          <w:tab w:val="num" w:pos="4320"/>
        </w:tabs>
        <w:ind w:left="4320" w:hanging="360"/>
      </w:pPr>
      <w:rPr>
        <w:rFonts w:ascii="Times New Roman" w:hAnsi="Times New Roman" w:hint="default"/>
      </w:rPr>
    </w:lvl>
    <w:lvl w:ilvl="6" w:tplc="802A4D28" w:tentative="1">
      <w:start w:val="1"/>
      <w:numFmt w:val="bullet"/>
      <w:lvlText w:val="–"/>
      <w:lvlJc w:val="left"/>
      <w:pPr>
        <w:tabs>
          <w:tab w:val="num" w:pos="5040"/>
        </w:tabs>
        <w:ind w:left="5040" w:hanging="360"/>
      </w:pPr>
      <w:rPr>
        <w:rFonts w:ascii="Times New Roman" w:hAnsi="Times New Roman" w:hint="default"/>
      </w:rPr>
    </w:lvl>
    <w:lvl w:ilvl="7" w:tplc="8FD45B3A" w:tentative="1">
      <w:start w:val="1"/>
      <w:numFmt w:val="bullet"/>
      <w:lvlText w:val="–"/>
      <w:lvlJc w:val="left"/>
      <w:pPr>
        <w:tabs>
          <w:tab w:val="num" w:pos="5760"/>
        </w:tabs>
        <w:ind w:left="5760" w:hanging="360"/>
      </w:pPr>
      <w:rPr>
        <w:rFonts w:ascii="Times New Roman" w:hAnsi="Times New Roman" w:hint="default"/>
      </w:rPr>
    </w:lvl>
    <w:lvl w:ilvl="8" w:tplc="392A480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2C5"/>
    <w:rsid w:val="000604D7"/>
    <w:rsid w:val="00074E84"/>
    <w:rsid w:val="000D7248"/>
    <w:rsid w:val="000F506A"/>
    <w:rsid w:val="00115E7A"/>
    <w:rsid w:val="00151F17"/>
    <w:rsid w:val="00161140"/>
    <w:rsid w:val="001651C8"/>
    <w:rsid w:val="00170D10"/>
    <w:rsid w:val="00201651"/>
    <w:rsid w:val="00264E88"/>
    <w:rsid w:val="00347BC4"/>
    <w:rsid w:val="003C12C5"/>
    <w:rsid w:val="00497BE1"/>
    <w:rsid w:val="004A3649"/>
    <w:rsid w:val="005C16B7"/>
    <w:rsid w:val="006642E3"/>
    <w:rsid w:val="007479CE"/>
    <w:rsid w:val="0076553E"/>
    <w:rsid w:val="007D5EEA"/>
    <w:rsid w:val="007F1D70"/>
    <w:rsid w:val="008523EB"/>
    <w:rsid w:val="008E422E"/>
    <w:rsid w:val="00A74BB8"/>
    <w:rsid w:val="00A77419"/>
    <w:rsid w:val="00AE19AA"/>
    <w:rsid w:val="00AE69B8"/>
    <w:rsid w:val="00BB6BCD"/>
    <w:rsid w:val="00BD2D73"/>
    <w:rsid w:val="00C32798"/>
    <w:rsid w:val="00C770BB"/>
    <w:rsid w:val="00D855AD"/>
    <w:rsid w:val="00E119A4"/>
    <w:rsid w:val="00E41012"/>
    <w:rsid w:val="00E70862"/>
    <w:rsid w:val="00E75A55"/>
    <w:rsid w:val="00EC1FED"/>
    <w:rsid w:val="00ED7AAB"/>
    <w:rsid w:val="00F741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12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2C5"/>
    <w:rPr>
      <w:rFonts w:ascii="Tahoma" w:hAnsi="Tahoma" w:cs="Tahoma"/>
      <w:sz w:val="16"/>
      <w:szCs w:val="16"/>
    </w:rPr>
  </w:style>
  <w:style w:type="paragraph" w:styleId="ListParagraph">
    <w:name w:val="List Paragraph"/>
    <w:basedOn w:val="Normal"/>
    <w:uiPriority w:val="34"/>
    <w:qFormat/>
    <w:rsid w:val="00C32798"/>
    <w:pPr>
      <w:ind w:left="720"/>
      <w:contextualSpacing/>
    </w:pPr>
  </w:style>
  <w:style w:type="table" w:styleId="TableGrid">
    <w:name w:val="Table Grid"/>
    <w:basedOn w:val="TableNormal"/>
    <w:uiPriority w:val="59"/>
    <w:rsid w:val="00747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5A55"/>
    <w:rPr>
      <w:color w:val="0000FF" w:themeColor="hyperlink"/>
      <w:u w:val="single"/>
    </w:rPr>
  </w:style>
  <w:style w:type="paragraph" w:styleId="Header">
    <w:name w:val="header"/>
    <w:basedOn w:val="Normal"/>
    <w:link w:val="HeaderChar"/>
    <w:uiPriority w:val="99"/>
    <w:unhideWhenUsed/>
    <w:rsid w:val="00BB6B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6BCD"/>
  </w:style>
  <w:style w:type="paragraph" w:styleId="Footer">
    <w:name w:val="footer"/>
    <w:basedOn w:val="Normal"/>
    <w:link w:val="FooterChar"/>
    <w:uiPriority w:val="99"/>
    <w:unhideWhenUsed/>
    <w:rsid w:val="00BB6B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6B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12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2C5"/>
    <w:rPr>
      <w:rFonts w:ascii="Tahoma" w:hAnsi="Tahoma" w:cs="Tahoma"/>
      <w:sz w:val="16"/>
      <w:szCs w:val="16"/>
    </w:rPr>
  </w:style>
  <w:style w:type="paragraph" w:styleId="ListParagraph">
    <w:name w:val="List Paragraph"/>
    <w:basedOn w:val="Normal"/>
    <w:uiPriority w:val="34"/>
    <w:qFormat/>
    <w:rsid w:val="00C32798"/>
    <w:pPr>
      <w:ind w:left="720"/>
      <w:contextualSpacing/>
    </w:pPr>
  </w:style>
  <w:style w:type="table" w:styleId="TableGrid">
    <w:name w:val="Table Grid"/>
    <w:basedOn w:val="TableNormal"/>
    <w:uiPriority w:val="59"/>
    <w:rsid w:val="00747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5A55"/>
    <w:rPr>
      <w:color w:val="0000FF" w:themeColor="hyperlink"/>
      <w:u w:val="single"/>
    </w:rPr>
  </w:style>
  <w:style w:type="paragraph" w:styleId="Header">
    <w:name w:val="header"/>
    <w:basedOn w:val="Normal"/>
    <w:link w:val="HeaderChar"/>
    <w:uiPriority w:val="99"/>
    <w:unhideWhenUsed/>
    <w:rsid w:val="00BB6B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6BCD"/>
  </w:style>
  <w:style w:type="paragraph" w:styleId="Footer">
    <w:name w:val="footer"/>
    <w:basedOn w:val="Normal"/>
    <w:link w:val="FooterChar"/>
    <w:uiPriority w:val="99"/>
    <w:unhideWhenUsed/>
    <w:rsid w:val="00BB6B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6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405343">
      <w:bodyDiv w:val="1"/>
      <w:marLeft w:val="0"/>
      <w:marRight w:val="0"/>
      <w:marTop w:val="0"/>
      <w:marBottom w:val="0"/>
      <w:divBdr>
        <w:top w:val="none" w:sz="0" w:space="0" w:color="auto"/>
        <w:left w:val="none" w:sz="0" w:space="0" w:color="auto"/>
        <w:bottom w:val="none" w:sz="0" w:space="0" w:color="auto"/>
        <w:right w:val="none" w:sz="0" w:space="0" w:color="auto"/>
      </w:divBdr>
      <w:divsChild>
        <w:div w:id="45035867">
          <w:marLeft w:val="1166"/>
          <w:marRight w:val="0"/>
          <w:marTop w:val="115"/>
          <w:marBottom w:val="0"/>
          <w:divBdr>
            <w:top w:val="none" w:sz="0" w:space="0" w:color="auto"/>
            <w:left w:val="none" w:sz="0" w:space="0" w:color="auto"/>
            <w:bottom w:val="none" w:sz="0" w:space="0" w:color="auto"/>
            <w:right w:val="none" w:sz="0" w:space="0" w:color="auto"/>
          </w:divBdr>
        </w:div>
        <w:div w:id="846751680">
          <w:marLeft w:val="1166"/>
          <w:marRight w:val="0"/>
          <w:marTop w:val="115"/>
          <w:marBottom w:val="0"/>
          <w:divBdr>
            <w:top w:val="none" w:sz="0" w:space="0" w:color="auto"/>
            <w:left w:val="none" w:sz="0" w:space="0" w:color="auto"/>
            <w:bottom w:val="none" w:sz="0" w:space="0" w:color="auto"/>
            <w:right w:val="none" w:sz="0" w:space="0" w:color="auto"/>
          </w:divBdr>
        </w:div>
      </w:divsChild>
    </w:div>
    <w:div w:id="2079672773">
      <w:bodyDiv w:val="1"/>
      <w:marLeft w:val="0"/>
      <w:marRight w:val="0"/>
      <w:marTop w:val="0"/>
      <w:marBottom w:val="0"/>
      <w:divBdr>
        <w:top w:val="none" w:sz="0" w:space="0" w:color="auto"/>
        <w:left w:val="none" w:sz="0" w:space="0" w:color="auto"/>
        <w:bottom w:val="none" w:sz="0" w:space="0" w:color="auto"/>
        <w:right w:val="none" w:sz="0" w:space="0" w:color="auto"/>
      </w:divBdr>
      <w:divsChild>
        <w:div w:id="1232739364">
          <w:marLeft w:val="1166"/>
          <w:marRight w:val="0"/>
          <w:marTop w:val="115"/>
          <w:marBottom w:val="0"/>
          <w:divBdr>
            <w:top w:val="none" w:sz="0" w:space="0" w:color="auto"/>
            <w:left w:val="none" w:sz="0" w:space="0" w:color="auto"/>
            <w:bottom w:val="none" w:sz="0" w:space="0" w:color="auto"/>
            <w:right w:val="none" w:sz="0" w:space="0" w:color="auto"/>
          </w:divBdr>
        </w:div>
        <w:div w:id="25447552">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ture.com/articles/bmt2010256"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ncbi.nlm.nih.gov/pubmed/2232473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cbi.nlm.nih.gov/pubmed/2117740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haematologica.org/content/102/3/433" TargetMode="External"/><Relationship Id="rId4" Type="http://schemas.microsoft.com/office/2007/relationships/stylesWithEffects" Target="stylesWithEffects.xml"/><Relationship Id="rId9" Type="http://schemas.openxmlformats.org/officeDocument/2006/relationships/hyperlink" Target="http://www.fungalupdate.org"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F4C84-1DBF-4251-A441-6BAF886F1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73942457</Template>
  <TotalTime>62</TotalTime>
  <Pages>4</Pages>
  <Words>1247</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Duncan</dc:creator>
  <cp:lastModifiedBy>Nick Duncan</cp:lastModifiedBy>
  <cp:revision>7</cp:revision>
  <cp:lastPrinted>2017-12-11T17:11:00Z</cp:lastPrinted>
  <dcterms:created xsi:type="dcterms:W3CDTF">2017-11-29T21:05:00Z</dcterms:created>
  <dcterms:modified xsi:type="dcterms:W3CDTF">2017-12-11T17:20:00Z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706746543</vt:i4>
  </property>
</Properties>
</file>