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AB" w:rsidRPr="003C12C5" w:rsidRDefault="003C12C5" w:rsidP="003C12C5">
      <w:pPr>
        <w:spacing w:after="0" w:line="240" w:lineRule="auto"/>
        <w:jc w:val="center"/>
        <w:rPr>
          <w:b/>
          <w:sz w:val="28"/>
          <w:szCs w:val="28"/>
        </w:rPr>
      </w:pPr>
      <w:r w:rsidRPr="003C12C5">
        <w:rPr>
          <w:b/>
          <w:sz w:val="28"/>
          <w:szCs w:val="28"/>
        </w:rPr>
        <w:t>Meeting report</w:t>
      </w:r>
    </w:p>
    <w:p w:rsidR="003C12C5" w:rsidRPr="003C12C5" w:rsidRDefault="003C12C5" w:rsidP="003C12C5">
      <w:pPr>
        <w:spacing w:after="0" w:line="240" w:lineRule="auto"/>
        <w:jc w:val="center"/>
        <w:rPr>
          <w:b/>
          <w:sz w:val="28"/>
          <w:szCs w:val="28"/>
        </w:rPr>
      </w:pPr>
      <w:r w:rsidRPr="003C12C5">
        <w:rPr>
          <w:b/>
          <w:sz w:val="28"/>
          <w:szCs w:val="28"/>
        </w:rPr>
        <w:t>UK BMT</w:t>
      </w:r>
      <w:r w:rsidR="008356F0">
        <w:rPr>
          <w:b/>
          <w:sz w:val="28"/>
          <w:szCs w:val="28"/>
        </w:rPr>
        <w:t xml:space="preserve"> Pharmacist Forum, Birmingham 8</w:t>
      </w:r>
      <w:r w:rsidRPr="003C12C5">
        <w:rPr>
          <w:b/>
          <w:sz w:val="28"/>
          <w:szCs w:val="28"/>
          <w:vertAlign w:val="superscript"/>
        </w:rPr>
        <w:t>th</w:t>
      </w:r>
      <w:r w:rsidR="008356F0">
        <w:rPr>
          <w:b/>
          <w:sz w:val="28"/>
          <w:szCs w:val="28"/>
        </w:rPr>
        <w:t xml:space="preserve"> June 2018</w:t>
      </w:r>
    </w:p>
    <w:p w:rsidR="003C12C5" w:rsidRDefault="00C32798" w:rsidP="003C12C5">
      <w:pPr>
        <w:spacing w:after="0" w:line="240" w:lineRule="auto"/>
        <w:jc w:val="center"/>
        <w:rPr>
          <w:b/>
          <w:sz w:val="28"/>
          <w:szCs w:val="28"/>
        </w:rPr>
      </w:pPr>
      <w:r>
        <w:rPr>
          <w:b/>
          <w:sz w:val="28"/>
          <w:szCs w:val="28"/>
        </w:rPr>
        <w:t>_____________________</w:t>
      </w:r>
    </w:p>
    <w:p w:rsidR="00C770BB" w:rsidRDefault="00C770BB" w:rsidP="00C770BB">
      <w:pPr>
        <w:spacing w:after="0" w:line="240" w:lineRule="auto"/>
        <w:jc w:val="both"/>
        <w:rPr>
          <w:sz w:val="24"/>
          <w:szCs w:val="24"/>
        </w:rPr>
      </w:pPr>
    </w:p>
    <w:p w:rsidR="00C32798" w:rsidRDefault="008356F0" w:rsidP="00C770BB">
      <w:pPr>
        <w:spacing w:after="0" w:line="240" w:lineRule="auto"/>
        <w:jc w:val="both"/>
        <w:rPr>
          <w:sz w:val="24"/>
          <w:szCs w:val="24"/>
        </w:rPr>
      </w:pPr>
      <w:r>
        <w:rPr>
          <w:sz w:val="24"/>
          <w:szCs w:val="24"/>
        </w:rPr>
        <w:t>The third</w:t>
      </w:r>
      <w:r w:rsidR="00C770BB">
        <w:rPr>
          <w:sz w:val="24"/>
          <w:szCs w:val="24"/>
        </w:rPr>
        <w:t xml:space="preserve"> meeting of the UK BMT Pharmacist Forum took </w:t>
      </w:r>
      <w:r>
        <w:rPr>
          <w:sz w:val="24"/>
          <w:szCs w:val="24"/>
        </w:rPr>
        <w:t>place in Birmingham on Friday 8</w:t>
      </w:r>
      <w:r w:rsidRPr="008356F0">
        <w:rPr>
          <w:sz w:val="24"/>
          <w:szCs w:val="24"/>
          <w:vertAlign w:val="superscript"/>
        </w:rPr>
        <w:t>th</w:t>
      </w:r>
      <w:r>
        <w:rPr>
          <w:sz w:val="24"/>
          <w:szCs w:val="24"/>
        </w:rPr>
        <w:t xml:space="preserve"> June 2018</w:t>
      </w:r>
      <w:r w:rsidR="00C770BB">
        <w:rPr>
          <w:sz w:val="24"/>
          <w:szCs w:val="24"/>
        </w:rPr>
        <w:t>.  Approximately 14 pharmacists from a cross section of UK transplant centres attended.  Sponsorship was very kindly provided by Jazz Pharmaceuticals.  The following sessions took place……………</w:t>
      </w:r>
    </w:p>
    <w:p w:rsidR="00C770BB" w:rsidRDefault="00C770BB" w:rsidP="00C770BB">
      <w:pPr>
        <w:spacing w:after="0" w:line="240" w:lineRule="auto"/>
        <w:jc w:val="both"/>
        <w:rPr>
          <w:sz w:val="24"/>
          <w:szCs w:val="24"/>
        </w:rPr>
      </w:pPr>
    </w:p>
    <w:p w:rsidR="000F506A" w:rsidRPr="00C770BB" w:rsidRDefault="000F506A" w:rsidP="00C770BB">
      <w:pPr>
        <w:spacing w:after="0" w:line="240" w:lineRule="auto"/>
        <w:jc w:val="both"/>
        <w:rPr>
          <w:sz w:val="24"/>
          <w:szCs w:val="24"/>
        </w:rPr>
      </w:pPr>
    </w:p>
    <w:p w:rsidR="00ED7AAB" w:rsidRPr="00AE6CD7" w:rsidRDefault="008356F0" w:rsidP="00C32798">
      <w:pPr>
        <w:spacing w:after="0" w:line="240" w:lineRule="auto"/>
        <w:rPr>
          <w:rFonts w:eastAsia="Calibri" w:cs="Times New Roman"/>
          <w:b/>
          <w:bCs/>
          <w:sz w:val="28"/>
          <w:szCs w:val="32"/>
        </w:rPr>
      </w:pPr>
      <w:r>
        <w:rPr>
          <w:rFonts w:eastAsia="Calibri" w:cs="Times New Roman"/>
          <w:b/>
          <w:bCs/>
          <w:sz w:val="28"/>
          <w:szCs w:val="32"/>
        </w:rPr>
        <w:t>Managing CAR-T cell toxicities</w:t>
      </w:r>
    </w:p>
    <w:p w:rsidR="00ED7AAB" w:rsidRPr="005C16B7" w:rsidRDefault="008356F0" w:rsidP="00C32798">
      <w:pPr>
        <w:spacing w:after="0" w:line="240" w:lineRule="auto"/>
        <w:rPr>
          <w:sz w:val="24"/>
          <w:szCs w:val="28"/>
          <w:lang w:eastAsia="en-GB"/>
        </w:rPr>
      </w:pPr>
      <w:r>
        <w:rPr>
          <w:bCs/>
          <w:sz w:val="24"/>
          <w:szCs w:val="28"/>
          <w:lang w:eastAsia="en-GB"/>
        </w:rPr>
        <w:t xml:space="preserve">Dr Claire </w:t>
      </w:r>
      <w:proofErr w:type="spellStart"/>
      <w:r>
        <w:rPr>
          <w:bCs/>
          <w:sz w:val="24"/>
          <w:szCs w:val="28"/>
          <w:lang w:eastAsia="en-GB"/>
        </w:rPr>
        <w:t>Roddie</w:t>
      </w:r>
      <w:proofErr w:type="spellEnd"/>
      <w:r>
        <w:rPr>
          <w:bCs/>
          <w:sz w:val="24"/>
          <w:szCs w:val="28"/>
          <w:lang w:eastAsia="en-GB"/>
        </w:rPr>
        <w:t>, Clinician Scientist, UCLH</w:t>
      </w:r>
      <w:r w:rsidR="00ED7AAB" w:rsidRPr="00AE6CD7">
        <w:rPr>
          <w:rFonts w:eastAsia="Calibri" w:cs="Times New Roman"/>
          <w:sz w:val="28"/>
          <w:szCs w:val="32"/>
        </w:rPr>
        <w:t xml:space="preserve">                                 </w:t>
      </w:r>
    </w:p>
    <w:p w:rsidR="00ED7AAB" w:rsidRPr="00DF6B25" w:rsidRDefault="00ED7AAB" w:rsidP="00C32798">
      <w:pPr>
        <w:spacing w:after="0" w:line="240" w:lineRule="auto"/>
        <w:rPr>
          <w:rFonts w:eastAsia="Calibri" w:cs="Times New Roman"/>
          <w:sz w:val="24"/>
          <w:szCs w:val="24"/>
        </w:rPr>
      </w:pPr>
    </w:p>
    <w:p w:rsidR="00D07AC6" w:rsidRDefault="00D07AC6" w:rsidP="00C32798">
      <w:pPr>
        <w:spacing w:after="0" w:line="240" w:lineRule="auto"/>
        <w:rPr>
          <w:rFonts w:eastAsia="Calibri" w:cs="Times New Roman"/>
          <w:sz w:val="24"/>
          <w:szCs w:val="24"/>
        </w:rPr>
      </w:pPr>
      <w:r>
        <w:rPr>
          <w:rFonts w:eastAsia="Calibri" w:cs="Times New Roman"/>
          <w:sz w:val="24"/>
          <w:szCs w:val="24"/>
        </w:rPr>
        <w:t xml:space="preserve">Dr </w:t>
      </w:r>
      <w:proofErr w:type="spellStart"/>
      <w:r>
        <w:rPr>
          <w:rFonts w:eastAsia="Calibri" w:cs="Times New Roman"/>
          <w:sz w:val="24"/>
          <w:szCs w:val="24"/>
        </w:rPr>
        <w:t>Roddie</w:t>
      </w:r>
      <w:proofErr w:type="spellEnd"/>
      <w:r>
        <w:rPr>
          <w:rFonts w:eastAsia="Calibri" w:cs="Times New Roman"/>
          <w:sz w:val="24"/>
          <w:szCs w:val="24"/>
        </w:rPr>
        <w:t xml:space="preserve"> delivered an excellent presentation on the development of CAR-T therapies, their clinical efficacy in lymphoma and leukaemia and common toxicities and their management.  Key references in relation to toxicities are listed below:</w:t>
      </w:r>
    </w:p>
    <w:p w:rsidR="00DF6B25" w:rsidRDefault="00DF6B25" w:rsidP="00DF6B25">
      <w:pPr>
        <w:spacing w:after="0" w:line="240" w:lineRule="auto"/>
        <w:rPr>
          <w:rFonts w:eastAsia="Calibri" w:cs="Times New Roman"/>
          <w:sz w:val="24"/>
          <w:szCs w:val="24"/>
        </w:rPr>
      </w:pPr>
    </w:p>
    <w:p w:rsidR="00DF6B25" w:rsidRPr="00DF6B25" w:rsidRDefault="004C19B4" w:rsidP="00DF6B25">
      <w:pPr>
        <w:pStyle w:val="ListParagraph"/>
        <w:numPr>
          <w:ilvl w:val="0"/>
          <w:numId w:val="4"/>
        </w:numPr>
        <w:shd w:val="clear" w:color="auto" w:fill="FFFFFF"/>
        <w:rPr>
          <w:rFonts w:cs="Arial"/>
          <w:sz w:val="24"/>
          <w:szCs w:val="24"/>
        </w:rPr>
      </w:pPr>
      <w:hyperlink r:id="rId9" w:history="1">
        <w:proofErr w:type="spellStart"/>
        <w:r w:rsidR="00DF6B25" w:rsidRPr="00DF6B25">
          <w:rPr>
            <w:rStyle w:val="Hyperlink"/>
            <w:rFonts w:cs="Arial"/>
            <w:color w:val="auto"/>
            <w:sz w:val="24"/>
            <w:szCs w:val="24"/>
            <w:u w:val="none"/>
          </w:rPr>
          <w:t>Brudno</w:t>
        </w:r>
        <w:proofErr w:type="spellEnd"/>
        <w:r w:rsidR="00DF6B25" w:rsidRPr="00DF6B25">
          <w:rPr>
            <w:rStyle w:val="Hyperlink"/>
            <w:rFonts w:cs="Arial"/>
            <w:color w:val="auto"/>
            <w:sz w:val="24"/>
            <w:szCs w:val="24"/>
            <w:u w:val="none"/>
          </w:rPr>
          <w:t xml:space="preserve"> JN</w:t>
        </w:r>
      </w:hyperlink>
      <w:r w:rsidR="00DF6B25" w:rsidRPr="00DF6B25">
        <w:rPr>
          <w:rFonts w:cs="Arial"/>
          <w:sz w:val="24"/>
          <w:szCs w:val="24"/>
        </w:rPr>
        <w:t>, </w:t>
      </w:r>
      <w:proofErr w:type="spellStart"/>
      <w:r>
        <w:fldChar w:fldCharType="begin"/>
      </w:r>
      <w:r>
        <w:instrText xml:space="preserve"> HYPERLINK "https://www.ncbi.nlm.nih.gov/pubmed/?term=Kochenderfer%20JN%5BAuthor%5D&amp;cauthor=true&amp;cauthor_uid=27207799" </w:instrText>
      </w:r>
      <w:r>
        <w:fldChar w:fldCharType="separate"/>
      </w:r>
      <w:r w:rsidR="00DF6B25" w:rsidRPr="00DF6B25">
        <w:rPr>
          <w:rStyle w:val="Hyperlink"/>
          <w:rFonts w:cs="Arial"/>
          <w:color w:val="auto"/>
          <w:sz w:val="24"/>
          <w:szCs w:val="24"/>
          <w:u w:val="none"/>
        </w:rPr>
        <w:t>Kochenderfer</w:t>
      </w:r>
      <w:proofErr w:type="spellEnd"/>
      <w:r w:rsidR="00DF6B25" w:rsidRPr="00DF6B25">
        <w:rPr>
          <w:rStyle w:val="Hyperlink"/>
          <w:rFonts w:cs="Arial"/>
          <w:color w:val="auto"/>
          <w:sz w:val="24"/>
          <w:szCs w:val="24"/>
          <w:u w:val="none"/>
        </w:rPr>
        <w:t xml:space="preserve"> JN</w:t>
      </w:r>
      <w:r>
        <w:rPr>
          <w:rStyle w:val="Hyperlink"/>
          <w:rFonts w:cs="Arial"/>
          <w:color w:val="auto"/>
          <w:sz w:val="24"/>
          <w:szCs w:val="24"/>
          <w:u w:val="none"/>
        </w:rPr>
        <w:fldChar w:fldCharType="end"/>
      </w:r>
      <w:r w:rsidR="00DF6B25" w:rsidRPr="00DF6B25">
        <w:rPr>
          <w:rFonts w:cs="Arial"/>
          <w:sz w:val="24"/>
          <w:szCs w:val="24"/>
        </w:rPr>
        <w:t xml:space="preserve">. </w:t>
      </w:r>
      <w:hyperlink r:id="rId10" w:tooltip="Blood." w:history="1">
        <w:r w:rsidR="00DF6B25" w:rsidRPr="00DF6B25">
          <w:rPr>
            <w:rStyle w:val="Hyperlink"/>
            <w:rFonts w:cs="Arial"/>
            <w:color w:val="auto"/>
            <w:sz w:val="24"/>
            <w:szCs w:val="24"/>
            <w:u w:val="none"/>
          </w:rPr>
          <w:t>Blood.</w:t>
        </w:r>
      </w:hyperlink>
      <w:r w:rsidR="00DF6B25" w:rsidRPr="00DF6B25">
        <w:rPr>
          <w:rFonts w:cs="Arial"/>
          <w:sz w:val="24"/>
          <w:szCs w:val="24"/>
        </w:rPr>
        <w:t> 2016; 127: 3321-30</w:t>
      </w:r>
    </w:p>
    <w:p w:rsidR="00DF6B25" w:rsidRPr="00DF6B25" w:rsidRDefault="00DF6B25" w:rsidP="00DF6B25">
      <w:pPr>
        <w:pStyle w:val="ListParagraph"/>
        <w:numPr>
          <w:ilvl w:val="0"/>
          <w:numId w:val="4"/>
        </w:numPr>
        <w:shd w:val="clear" w:color="auto" w:fill="FFFFFF"/>
        <w:rPr>
          <w:rFonts w:cs="Arial"/>
          <w:sz w:val="24"/>
          <w:szCs w:val="24"/>
        </w:rPr>
      </w:pPr>
      <w:proofErr w:type="spellStart"/>
      <w:r w:rsidRPr="00DF6B25">
        <w:rPr>
          <w:rStyle w:val="labs-docsum-citation-part"/>
          <w:rFonts w:cs="Helvetica"/>
          <w:sz w:val="24"/>
          <w:szCs w:val="24"/>
          <w:shd w:val="clear" w:color="auto" w:fill="FFFFFF"/>
        </w:rPr>
        <w:t>Neelapu</w:t>
      </w:r>
      <w:proofErr w:type="spellEnd"/>
      <w:r w:rsidRPr="00DF6B25">
        <w:rPr>
          <w:rStyle w:val="labs-docsum-citation-part"/>
          <w:rFonts w:cs="Helvetica"/>
          <w:sz w:val="24"/>
          <w:szCs w:val="24"/>
          <w:shd w:val="clear" w:color="auto" w:fill="FFFFFF"/>
        </w:rPr>
        <w:t xml:space="preserve"> SS et al.</w:t>
      </w:r>
      <w:r w:rsidRPr="00DF6B25">
        <w:rPr>
          <w:rFonts w:cs="Helvetica"/>
          <w:sz w:val="24"/>
          <w:szCs w:val="24"/>
          <w:shd w:val="clear" w:color="auto" w:fill="FFFFFF"/>
        </w:rPr>
        <w:t xml:space="preserve"> Nat Rev </w:t>
      </w:r>
      <w:proofErr w:type="spellStart"/>
      <w:r w:rsidRPr="00DF6B25">
        <w:rPr>
          <w:rFonts w:cs="Helvetica"/>
          <w:sz w:val="24"/>
          <w:szCs w:val="24"/>
          <w:shd w:val="clear" w:color="auto" w:fill="FFFFFF"/>
        </w:rPr>
        <w:t>Clin</w:t>
      </w:r>
      <w:proofErr w:type="spellEnd"/>
      <w:r w:rsidRPr="00DF6B25">
        <w:rPr>
          <w:rFonts w:cs="Helvetica"/>
          <w:sz w:val="24"/>
          <w:szCs w:val="24"/>
          <w:shd w:val="clear" w:color="auto" w:fill="FFFFFF"/>
        </w:rPr>
        <w:t xml:space="preserve"> </w:t>
      </w:r>
      <w:proofErr w:type="spellStart"/>
      <w:r w:rsidRPr="00DF6B25">
        <w:rPr>
          <w:rFonts w:cs="Helvetica"/>
          <w:sz w:val="24"/>
          <w:szCs w:val="24"/>
          <w:shd w:val="clear" w:color="auto" w:fill="FFFFFF"/>
        </w:rPr>
        <w:t>Oncol</w:t>
      </w:r>
      <w:proofErr w:type="spellEnd"/>
      <w:r w:rsidRPr="00DF6B25">
        <w:rPr>
          <w:rFonts w:cs="Helvetica"/>
          <w:sz w:val="24"/>
          <w:szCs w:val="24"/>
          <w:shd w:val="clear" w:color="auto" w:fill="FFFFFF"/>
        </w:rPr>
        <w:t xml:space="preserve"> 2017; 15, 47-62</w:t>
      </w:r>
    </w:p>
    <w:p w:rsidR="00DF6B25" w:rsidRPr="00DF6B25" w:rsidRDefault="004C19B4" w:rsidP="00DF6B25">
      <w:pPr>
        <w:pStyle w:val="ListParagraph"/>
        <w:numPr>
          <w:ilvl w:val="0"/>
          <w:numId w:val="4"/>
        </w:numPr>
        <w:shd w:val="clear" w:color="auto" w:fill="FFFFFF"/>
        <w:rPr>
          <w:rFonts w:cs="Arial"/>
          <w:sz w:val="24"/>
          <w:szCs w:val="24"/>
        </w:rPr>
      </w:pPr>
      <w:hyperlink r:id="rId11" w:history="1">
        <w:r w:rsidR="00DF6B25" w:rsidRPr="00DF6B25">
          <w:rPr>
            <w:rStyle w:val="Hyperlink"/>
            <w:rFonts w:cs="Arial"/>
            <w:color w:val="auto"/>
            <w:sz w:val="24"/>
            <w:szCs w:val="24"/>
            <w:u w:val="none"/>
          </w:rPr>
          <w:t>Hill JA</w:t>
        </w:r>
      </w:hyperlink>
      <w:r w:rsidR="00DF6B25" w:rsidRPr="00DF6B25">
        <w:rPr>
          <w:rFonts w:cs="Arial"/>
          <w:sz w:val="24"/>
          <w:szCs w:val="24"/>
        </w:rPr>
        <w:t xml:space="preserve"> et al.  Blood 2018; 131: 121-130</w:t>
      </w:r>
    </w:p>
    <w:p w:rsidR="008523EB" w:rsidRDefault="008523EB" w:rsidP="00C32798">
      <w:pPr>
        <w:spacing w:after="0" w:line="240" w:lineRule="auto"/>
        <w:rPr>
          <w:rFonts w:eastAsia="Calibri" w:cs="Times New Roman"/>
          <w:b/>
          <w:bCs/>
          <w:sz w:val="28"/>
          <w:szCs w:val="32"/>
        </w:rPr>
      </w:pPr>
    </w:p>
    <w:p w:rsidR="00DF6B25" w:rsidRDefault="00DF6B25" w:rsidP="00C32798">
      <w:pPr>
        <w:spacing w:after="0" w:line="240" w:lineRule="auto"/>
        <w:rPr>
          <w:rFonts w:eastAsia="Calibri" w:cs="Times New Roman"/>
          <w:b/>
          <w:bCs/>
          <w:sz w:val="28"/>
          <w:szCs w:val="32"/>
        </w:rPr>
      </w:pPr>
    </w:p>
    <w:p w:rsidR="00ED7AAB" w:rsidRPr="00AE6CD7" w:rsidRDefault="00DF6B25" w:rsidP="00C32798">
      <w:pPr>
        <w:spacing w:after="0" w:line="240" w:lineRule="auto"/>
        <w:rPr>
          <w:rFonts w:eastAsia="Calibri" w:cs="Arial"/>
          <w:bCs/>
          <w:sz w:val="28"/>
          <w:szCs w:val="32"/>
        </w:rPr>
      </w:pPr>
      <w:r>
        <w:rPr>
          <w:rFonts w:eastAsia="Calibri" w:cs="Times New Roman"/>
          <w:b/>
          <w:bCs/>
          <w:sz w:val="28"/>
          <w:szCs w:val="32"/>
        </w:rPr>
        <w:t xml:space="preserve">Royal </w:t>
      </w:r>
      <w:r w:rsidR="008356F0">
        <w:rPr>
          <w:rFonts w:eastAsia="Calibri" w:cs="Times New Roman"/>
          <w:b/>
          <w:bCs/>
          <w:sz w:val="28"/>
          <w:szCs w:val="32"/>
        </w:rPr>
        <w:t xml:space="preserve">Marsden Training Passport </w:t>
      </w:r>
    </w:p>
    <w:p w:rsidR="00ED7AAB" w:rsidRDefault="008356F0" w:rsidP="00C32798">
      <w:pPr>
        <w:spacing w:after="0" w:line="240" w:lineRule="auto"/>
        <w:rPr>
          <w:rFonts w:eastAsia="Calibri" w:cs="Times New Roman"/>
          <w:sz w:val="24"/>
          <w:szCs w:val="28"/>
        </w:rPr>
      </w:pPr>
      <w:r>
        <w:rPr>
          <w:rFonts w:eastAsia="Calibri" w:cs="Times New Roman"/>
          <w:sz w:val="24"/>
          <w:szCs w:val="28"/>
        </w:rPr>
        <w:t>Vivek Soni, (formerly) lead haematology pharmacist, RMH</w:t>
      </w:r>
      <w:r w:rsidR="005F27BE">
        <w:rPr>
          <w:rFonts w:eastAsia="Calibri" w:cs="Times New Roman"/>
          <w:sz w:val="24"/>
          <w:szCs w:val="28"/>
        </w:rPr>
        <w:t>.</w:t>
      </w:r>
    </w:p>
    <w:p w:rsidR="005F27BE" w:rsidRDefault="005F27BE" w:rsidP="00C32798">
      <w:pPr>
        <w:spacing w:after="0" w:line="240" w:lineRule="auto"/>
        <w:rPr>
          <w:rFonts w:eastAsia="Calibri" w:cs="Times New Roman"/>
          <w:sz w:val="24"/>
          <w:szCs w:val="28"/>
        </w:rPr>
      </w:pPr>
    </w:p>
    <w:p w:rsidR="00C30749" w:rsidRDefault="005F27BE" w:rsidP="00C32798">
      <w:pPr>
        <w:spacing w:after="0" w:line="240" w:lineRule="auto"/>
        <w:rPr>
          <w:rFonts w:eastAsia="Calibri" w:cs="Times New Roman"/>
          <w:sz w:val="24"/>
          <w:szCs w:val="28"/>
        </w:rPr>
      </w:pPr>
      <w:r>
        <w:rPr>
          <w:rFonts w:eastAsia="Calibri" w:cs="Times New Roman"/>
          <w:sz w:val="24"/>
          <w:szCs w:val="28"/>
        </w:rPr>
        <w:t>Vivek provided a very useful overview of the training passport that he developed</w:t>
      </w:r>
      <w:r w:rsidR="00C30749">
        <w:rPr>
          <w:rFonts w:eastAsia="Calibri" w:cs="Times New Roman"/>
          <w:sz w:val="24"/>
          <w:szCs w:val="28"/>
        </w:rPr>
        <w:t xml:space="preserve"> at RMH last year as part of</w:t>
      </w:r>
      <w:r>
        <w:rPr>
          <w:rFonts w:eastAsia="Calibri" w:cs="Times New Roman"/>
          <w:sz w:val="24"/>
          <w:szCs w:val="28"/>
        </w:rPr>
        <w:t xml:space="preserve"> preparation</w:t>
      </w:r>
      <w:r w:rsidR="00C30749">
        <w:rPr>
          <w:rFonts w:eastAsia="Calibri" w:cs="Times New Roman"/>
          <w:sz w:val="24"/>
          <w:szCs w:val="28"/>
        </w:rPr>
        <w:t>s</w:t>
      </w:r>
      <w:r>
        <w:rPr>
          <w:rFonts w:eastAsia="Calibri" w:cs="Times New Roman"/>
          <w:sz w:val="24"/>
          <w:szCs w:val="28"/>
        </w:rPr>
        <w:t xml:space="preserve"> for </w:t>
      </w:r>
      <w:r w:rsidR="00C30749">
        <w:rPr>
          <w:rFonts w:eastAsia="Calibri" w:cs="Times New Roman"/>
          <w:sz w:val="24"/>
          <w:szCs w:val="28"/>
        </w:rPr>
        <w:t xml:space="preserve">a </w:t>
      </w:r>
      <w:r>
        <w:rPr>
          <w:rFonts w:eastAsia="Calibri" w:cs="Times New Roman"/>
          <w:sz w:val="24"/>
          <w:szCs w:val="28"/>
        </w:rPr>
        <w:t xml:space="preserve">JACIE inspection. </w:t>
      </w:r>
      <w:r w:rsidR="00C30749">
        <w:rPr>
          <w:rFonts w:eastAsia="Calibri" w:cs="Times New Roman"/>
          <w:sz w:val="24"/>
          <w:szCs w:val="28"/>
        </w:rPr>
        <w:t xml:space="preserve">  The passport was praised by the inspectors and the concept should have broad applicability.</w:t>
      </w:r>
    </w:p>
    <w:p w:rsidR="00C30749" w:rsidRDefault="00C30749" w:rsidP="00C32798">
      <w:pPr>
        <w:spacing w:after="0" w:line="240" w:lineRule="auto"/>
        <w:rPr>
          <w:rFonts w:eastAsia="Calibri" w:cs="Times New Roman"/>
          <w:sz w:val="24"/>
          <w:szCs w:val="28"/>
        </w:rPr>
      </w:pPr>
    </w:p>
    <w:p w:rsidR="005F27BE" w:rsidRPr="00C30749" w:rsidRDefault="005F27BE" w:rsidP="00C32798">
      <w:pPr>
        <w:spacing w:after="0" w:line="240" w:lineRule="auto"/>
        <w:rPr>
          <w:rFonts w:eastAsia="Calibri" w:cs="Times New Roman"/>
          <w:i/>
          <w:sz w:val="24"/>
          <w:szCs w:val="28"/>
        </w:rPr>
      </w:pPr>
      <w:r>
        <w:rPr>
          <w:rFonts w:eastAsia="Calibri" w:cs="Times New Roman"/>
          <w:sz w:val="24"/>
          <w:szCs w:val="28"/>
        </w:rPr>
        <w:t xml:space="preserve"> </w:t>
      </w:r>
      <w:r w:rsidR="00C30749">
        <w:rPr>
          <w:rFonts w:eastAsia="Calibri" w:cs="Times New Roman"/>
          <w:sz w:val="24"/>
          <w:szCs w:val="28"/>
        </w:rPr>
        <w:t xml:space="preserve">Addendum - </w:t>
      </w:r>
      <w:r w:rsidRPr="00C30749">
        <w:rPr>
          <w:rFonts w:eastAsia="Calibri" w:cs="Times New Roman"/>
          <w:i/>
          <w:sz w:val="24"/>
          <w:szCs w:val="28"/>
        </w:rPr>
        <w:t>There was some discussion about how best to develop this piece of work and it was proposed that 2-3 volunteers might w</w:t>
      </w:r>
      <w:r w:rsidR="00C30749">
        <w:rPr>
          <w:rFonts w:eastAsia="Calibri" w:cs="Times New Roman"/>
          <w:i/>
          <w:sz w:val="24"/>
          <w:szCs w:val="28"/>
        </w:rPr>
        <w:t>ant to meet up with Vivek</w:t>
      </w:r>
      <w:r w:rsidRPr="00C30749">
        <w:rPr>
          <w:rFonts w:eastAsia="Calibri" w:cs="Times New Roman"/>
          <w:i/>
          <w:sz w:val="24"/>
          <w:szCs w:val="28"/>
        </w:rPr>
        <w:t xml:space="preserve"> to draft a generic document that could be available</w:t>
      </w:r>
      <w:r w:rsidR="00C30749">
        <w:rPr>
          <w:rFonts w:eastAsia="Calibri" w:cs="Times New Roman"/>
          <w:i/>
          <w:sz w:val="24"/>
          <w:szCs w:val="28"/>
        </w:rPr>
        <w:t xml:space="preserve"> to all BMT centres - with sufficient buy-in, the passport</w:t>
      </w:r>
      <w:r w:rsidR="00C30749" w:rsidRPr="00C30749">
        <w:rPr>
          <w:rFonts w:eastAsia="Calibri" w:cs="Times New Roman"/>
          <w:i/>
          <w:sz w:val="24"/>
          <w:szCs w:val="28"/>
        </w:rPr>
        <w:t xml:space="preserve"> could then be </w:t>
      </w:r>
      <w:r w:rsidR="00C30749">
        <w:rPr>
          <w:rFonts w:eastAsia="Calibri" w:cs="Times New Roman"/>
          <w:i/>
          <w:sz w:val="24"/>
          <w:szCs w:val="28"/>
        </w:rPr>
        <w:t xml:space="preserve">potentially </w:t>
      </w:r>
      <w:r w:rsidR="00C30749" w:rsidRPr="00C30749">
        <w:rPr>
          <w:rFonts w:eastAsia="Calibri" w:cs="Times New Roman"/>
          <w:i/>
          <w:sz w:val="24"/>
          <w:szCs w:val="28"/>
        </w:rPr>
        <w:t>transferrable between centres.  I believe that UKONS have developed a chemotherapy training passport for chemo nurses so it would be useful to get hold of their document as well.</w:t>
      </w:r>
    </w:p>
    <w:p w:rsidR="00ED7AAB" w:rsidRDefault="00ED7AAB" w:rsidP="00C32798">
      <w:pPr>
        <w:spacing w:after="0" w:line="240" w:lineRule="auto"/>
        <w:rPr>
          <w:rFonts w:eastAsia="Calibri" w:cs="Times New Roman"/>
          <w:sz w:val="28"/>
          <w:szCs w:val="32"/>
        </w:rPr>
      </w:pPr>
    </w:p>
    <w:p w:rsidR="00DF6B25" w:rsidRDefault="00DF6B25" w:rsidP="00C32798">
      <w:pPr>
        <w:spacing w:after="0" w:line="240" w:lineRule="auto"/>
        <w:rPr>
          <w:rFonts w:eastAsia="Calibri" w:cs="Times New Roman"/>
          <w:sz w:val="28"/>
          <w:szCs w:val="32"/>
        </w:rPr>
      </w:pPr>
    </w:p>
    <w:p w:rsidR="00F741DF" w:rsidRPr="008356F0" w:rsidRDefault="008356F0" w:rsidP="00C32798">
      <w:pPr>
        <w:spacing w:after="0" w:line="240" w:lineRule="auto"/>
        <w:rPr>
          <w:rFonts w:eastAsia="Calibri" w:cs="Times New Roman"/>
          <w:b/>
          <w:bCs/>
          <w:sz w:val="28"/>
          <w:szCs w:val="28"/>
        </w:rPr>
      </w:pPr>
      <w:r>
        <w:rPr>
          <w:rFonts w:eastAsia="Calibri" w:cs="Times New Roman"/>
          <w:b/>
          <w:bCs/>
          <w:sz w:val="28"/>
          <w:szCs w:val="28"/>
        </w:rPr>
        <w:t>Developing cost im</w:t>
      </w:r>
      <w:r w:rsidRPr="008356F0">
        <w:rPr>
          <w:rFonts w:eastAsia="Calibri" w:cs="Times New Roman"/>
          <w:b/>
          <w:bCs/>
          <w:sz w:val="28"/>
          <w:szCs w:val="28"/>
        </w:rPr>
        <w:t>provements in BMT and sharing examples of good practice</w:t>
      </w:r>
    </w:p>
    <w:p w:rsidR="008356F0" w:rsidRPr="00DF6B25" w:rsidRDefault="008356F0" w:rsidP="00C32798">
      <w:pPr>
        <w:spacing w:after="0" w:line="240" w:lineRule="auto"/>
        <w:rPr>
          <w:rFonts w:eastAsia="Calibri" w:cs="Times New Roman"/>
          <w:bCs/>
          <w:sz w:val="24"/>
          <w:szCs w:val="24"/>
        </w:rPr>
      </w:pPr>
      <w:r w:rsidRPr="00DF6B25">
        <w:rPr>
          <w:rFonts w:eastAsia="Calibri" w:cs="Times New Roman"/>
          <w:bCs/>
          <w:sz w:val="24"/>
          <w:szCs w:val="24"/>
        </w:rPr>
        <w:t>Workshop session</w:t>
      </w:r>
    </w:p>
    <w:p w:rsidR="00E70862" w:rsidRDefault="00E70862" w:rsidP="00C32798">
      <w:pPr>
        <w:spacing w:after="0" w:line="240" w:lineRule="auto"/>
        <w:rPr>
          <w:rFonts w:eastAsia="Calibri" w:cs="Times New Roman"/>
          <w:b/>
          <w:bCs/>
          <w:sz w:val="24"/>
          <w:szCs w:val="24"/>
        </w:rPr>
      </w:pPr>
    </w:p>
    <w:p w:rsidR="00C30749" w:rsidRPr="004E0761" w:rsidRDefault="00C30749" w:rsidP="00C32798">
      <w:pPr>
        <w:spacing w:after="0" w:line="240" w:lineRule="auto"/>
        <w:rPr>
          <w:rFonts w:eastAsia="Calibri" w:cs="Times New Roman"/>
          <w:bCs/>
          <w:sz w:val="24"/>
          <w:szCs w:val="24"/>
        </w:rPr>
      </w:pPr>
      <w:r w:rsidRPr="004E0761">
        <w:rPr>
          <w:rFonts w:eastAsia="Calibri" w:cs="Times New Roman"/>
          <w:bCs/>
          <w:sz w:val="24"/>
          <w:szCs w:val="24"/>
        </w:rPr>
        <w:t>Rachel Palmer summarised some of the current areas of interest for the BMT CRG - biosimilar G-CSF, antifungals (esp</w:t>
      </w:r>
      <w:r w:rsidR="004C79FD" w:rsidRPr="004E0761">
        <w:rPr>
          <w:rFonts w:eastAsia="Calibri" w:cs="Times New Roman"/>
          <w:bCs/>
          <w:sz w:val="24"/>
          <w:szCs w:val="24"/>
        </w:rPr>
        <w:t>.</w:t>
      </w:r>
      <w:r w:rsidRPr="004E0761">
        <w:rPr>
          <w:rFonts w:eastAsia="Calibri" w:cs="Times New Roman"/>
          <w:bCs/>
          <w:sz w:val="24"/>
          <w:szCs w:val="24"/>
        </w:rPr>
        <w:t xml:space="preserve"> prophylaxis, role for </w:t>
      </w:r>
      <w:proofErr w:type="spellStart"/>
      <w:r w:rsidRPr="004E0761">
        <w:rPr>
          <w:rFonts w:eastAsia="Calibri" w:cs="Times New Roman"/>
          <w:bCs/>
          <w:sz w:val="24"/>
          <w:szCs w:val="24"/>
        </w:rPr>
        <w:t>blueteq</w:t>
      </w:r>
      <w:proofErr w:type="spellEnd"/>
      <w:r w:rsidRPr="004E0761">
        <w:rPr>
          <w:rFonts w:eastAsia="Calibri" w:cs="Times New Roman"/>
          <w:bCs/>
          <w:sz w:val="24"/>
          <w:szCs w:val="24"/>
        </w:rPr>
        <w:t xml:space="preserve">?), </w:t>
      </w:r>
      <w:proofErr w:type="spellStart"/>
      <w:proofErr w:type="gramStart"/>
      <w:r w:rsidRPr="004E0761">
        <w:rPr>
          <w:rFonts w:eastAsia="Calibri" w:cs="Times New Roman"/>
          <w:bCs/>
          <w:sz w:val="24"/>
          <w:szCs w:val="24"/>
        </w:rPr>
        <w:t>plerixafor</w:t>
      </w:r>
      <w:proofErr w:type="spellEnd"/>
      <w:proofErr w:type="gramEnd"/>
      <w:r w:rsidRPr="004E0761">
        <w:rPr>
          <w:rFonts w:eastAsia="Calibri" w:cs="Times New Roman"/>
          <w:bCs/>
          <w:sz w:val="24"/>
          <w:szCs w:val="24"/>
        </w:rPr>
        <w:t xml:space="preserve"> for healthy donors.  </w:t>
      </w:r>
    </w:p>
    <w:p w:rsidR="004C79FD" w:rsidRPr="004E0761" w:rsidRDefault="004C79FD" w:rsidP="00C32798">
      <w:pPr>
        <w:spacing w:after="0" w:line="240" w:lineRule="auto"/>
        <w:rPr>
          <w:rFonts w:eastAsia="Calibri" w:cs="Times New Roman"/>
          <w:bCs/>
          <w:sz w:val="24"/>
          <w:szCs w:val="24"/>
        </w:rPr>
      </w:pPr>
    </w:p>
    <w:p w:rsidR="00C30749" w:rsidRPr="004E0761" w:rsidRDefault="00C30749" w:rsidP="00C32798">
      <w:pPr>
        <w:spacing w:after="0" w:line="240" w:lineRule="auto"/>
        <w:rPr>
          <w:rFonts w:eastAsia="Calibri" w:cs="Times New Roman"/>
          <w:bCs/>
          <w:sz w:val="24"/>
          <w:szCs w:val="24"/>
        </w:rPr>
      </w:pPr>
      <w:r w:rsidRPr="004E0761">
        <w:rPr>
          <w:rFonts w:eastAsia="Calibri" w:cs="Times New Roman"/>
          <w:bCs/>
          <w:sz w:val="24"/>
          <w:szCs w:val="24"/>
        </w:rPr>
        <w:t>Other topics discussed included:</w:t>
      </w:r>
    </w:p>
    <w:p w:rsidR="00C30749" w:rsidRPr="004E0761" w:rsidRDefault="00C30749" w:rsidP="00C32798">
      <w:pPr>
        <w:spacing w:after="0" w:line="240" w:lineRule="auto"/>
        <w:rPr>
          <w:rFonts w:eastAsia="Calibri" w:cs="Times New Roman"/>
          <w:bCs/>
          <w:sz w:val="24"/>
          <w:szCs w:val="24"/>
        </w:rPr>
      </w:pPr>
      <w:r w:rsidRPr="004E0761">
        <w:rPr>
          <w:rFonts w:eastAsia="Calibri" w:cs="Times New Roman"/>
          <w:bCs/>
          <w:sz w:val="24"/>
          <w:szCs w:val="24"/>
        </w:rPr>
        <w:t>G-CSF – expected that Anthony Nolan is going to make an announcement soon supporting the use of biosimilar G-CSF for stem cell mobilisation in healthy donors.</w:t>
      </w:r>
    </w:p>
    <w:p w:rsidR="00C30749" w:rsidRPr="004E0761" w:rsidRDefault="00C30749" w:rsidP="00C32798">
      <w:pPr>
        <w:spacing w:after="0" w:line="240" w:lineRule="auto"/>
        <w:rPr>
          <w:rFonts w:eastAsia="Calibri" w:cs="Times New Roman"/>
          <w:bCs/>
          <w:sz w:val="24"/>
          <w:szCs w:val="24"/>
        </w:rPr>
      </w:pPr>
      <w:r w:rsidRPr="004E0761">
        <w:rPr>
          <w:rFonts w:eastAsia="Calibri" w:cs="Times New Roman"/>
          <w:bCs/>
          <w:sz w:val="24"/>
          <w:szCs w:val="24"/>
        </w:rPr>
        <w:lastRenderedPageBreak/>
        <w:t xml:space="preserve">Generic </w:t>
      </w:r>
      <w:proofErr w:type="spellStart"/>
      <w:r w:rsidRPr="004E0761">
        <w:rPr>
          <w:rFonts w:eastAsia="Calibri" w:cs="Times New Roman"/>
          <w:bCs/>
          <w:sz w:val="24"/>
          <w:szCs w:val="24"/>
        </w:rPr>
        <w:t>ciclosporin</w:t>
      </w:r>
      <w:proofErr w:type="spellEnd"/>
    </w:p>
    <w:p w:rsidR="00C30749" w:rsidRPr="004E0761" w:rsidRDefault="00C30749" w:rsidP="00C32798">
      <w:pPr>
        <w:spacing w:after="0" w:line="240" w:lineRule="auto"/>
        <w:rPr>
          <w:rFonts w:eastAsia="Calibri" w:cs="Times New Roman"/>
          <w:bCs/>
          <w:sz w:val="24"/>
          <w:szCs w:val="24"/>
        </w:rPr>
      </w:pPr>
      <w:r w:rsidRPr="004E0761">
        <w:rPr>
          <w:rFonts w:eastAsia="Calibri" w:cs="Times New Roman"/>
          <w:bCs/>
          <w:sz w:val="24"/>
          <w:szCs w:val="24"/>
        </w:rPr>
        <w:t xml:space="preserve">Other generics on the horizon e.g. </w:t>
      </w:r>
      <w:proofErr w:type="spellStart"/>
      <w:r w:rsidRPr="004E0761">
        <w:rPr>
          <w:rFonts w:eastAsia="Calibri" w:cs="Times New Roman"/>
          <w:bCs/>
          <w:sz w:val="24"/>
          <w:szCs w:val="24"/>
        </w:rPr>
        <w:t>caspofungin</w:t>
      </w:r>
      <w:proofErr w:type="spellEnd"/>
      <w:r w:rsidRPr="004E0761">
        <w:rPr>
          <w:rFonts w:eastAsia="Calibri" w:cs="Times New Roman"/>
          <w:bCs/>
          <w:sz w:val="24"/>
          <w:szCs w:val="24"/>
        </w:rPr>
        <w:t xml:space="preserve">, </w:t>
      </w:r>
      <w:proofErr w:type="spellStart"/>
      <w:r w:rsidRPr="004E0761">
        <w:rPr>
          <w:rFonts w:eastAsia="Calibri" w:cs="Times New Roman"/>
          <w:bCs/>
          <w:sz w:val="24"/>
          <w:szCs w:val="24"/>
        </w:rPr>
        <w:t>aprepitant</w:t>
      </w:r>
      <w:proofErr w:type="spellEnd"/>
    </w:p>
    <w:p w:rsidR="00C30749" w:rsidRPr="004E0761" w:rsidRDefault="00C30749" w:rsidP="00C32798">
      <w:pPr>
        <w:spacing w:after="0" w:line="240" w:lineRule="auto"/>
        <w:rPr>
          <w:rFonts w:eastAsia="Calibri" w:cs="Times New Roman"/>
          <w:bCs/>
          <w:sz w:val="24"/>
          <w:szCs w:val="24"/>
        </w:rPr>
      </w:pPr>
      <w:r w:rsidRPr="004E0761">
        <w:rPr>
          <w:rFonts w:eastAsia="Calibri" w:cs="Times New Roman"/>
          <w:bCs/>
          <w:sz w:val="24"/>
          <w:szCs w:val="24"/>
        </w:rPr>
        <w:t xml:space="preserve">Capping of </w:t>
      </w:r>
      <w:proofErr w:type="spellStart"/>
      <w:r w:rsidRPr="004E0761">
        <w:rPr>
          <w:rFonts w:eastAsia="Calibri" w:cs="Times New Roman"/>
          <w:bCs/>
          <w:sz w:val="24"/>
          <w:szCs w:val="24"/>
        </w:rPr>
        <w:t>plerixafor</w:t>
      </w:r>
      <w:proofErr w:type="spellEnd"/>
      <w:r w:rsidRPr="004E0761">
        <w:rPr>
          <w:rFonts w:eastAsia="Calibri" w:cs="Times New Roman"/>
          <w:bCs/>
          <w:sz w:val="24"/>
          <w:szCs w:val="24"/>
        </w:rPr>
        <w:t xml:space="preserve"> dosing in obesity</w:t>
      </w:r>
    </w:p>
    <w:p w:rsidR="004C79FD" w:rsidRPr="004E0761" w:rsidRDefault="004C79FD" w:rsidP="00C32798">
      <w:pPr>
        <w:spacing w:after="0" w:line="240" w:lineRule="auto"/>
        <w:rPr>
          <w:rFonts w:eastAsia="Calibri" w:cs="Times New Roman"/>
          <w:bCs/>
          <w:sz w:val="24"/>
          <w:szCs w:val="24"/>
        </w:rPr>
      </w:pPr>
      <w:r w:rsidRPr="004E0761">
        <w:rPr>
          <w:rFonts w:eastAsia="Calibri" w:cs="Times New Roman"/>
          <w:bCs/>
          <w:sz w:val="24"/>
          <w:szCs w:val="24"/>
        </w:rPr>
        <w:t xml:space="preserve">Ambulatory transplants, including use of oral </w:t>
      </w:r>
      <w:proofErr w:type="spellStart"/>
      <w:r w:rsidRPr="004E0761">
        <w:rPr>
          <w:rFonts w:eastAsia="Calibri" w:cs="Times New Roman"/>
          <w:bCs/>
          <w:sz w:val="24"/>
          <w:szCs w:val="24"/>
        </w:rPr>
        <w:t>fludarabine</w:t>
      </w:r>
      <w:proofErr w:type="spellEnd"/>
      <w:r w:rsidRPr="004E0761">
        <w:rPr>
          <w:rFonts w:eastAsia="Calibri" w:cs="Times New Roman"/>
          <w:bCs/>
          <w:sz w:val="24"/>
          <w:szCs w:val="24"/>
        </w:rPr>
        <w:t xml:space="preserve"> (RMH and </w:t>
      </w:r>
      <w:proofErr w:type="spellStart"/>
      <w:r w:rsidRPr="004E0761">
        <w:rPr>
          <w:rFonts w:eastAsia="Calibri" w:cs="Times New Roman"/>
          <w:bCs/>
          <w:sz w:val="24"/>
          <w:szCs w:val="24"/>
        </w:rPr>
        <w:t>B’ham</w:t>
      </w:r>
      <w:proofErr w:type="spellEnd"/>
      <w:r w:rsidRPr="004E0761">
        <w:rPr>
          <w:rFonts w:eastAsia="Calibri" w:cs="Times New Roman"/>
          <w:bCs/>
          <w:sz w:val="24"/>
          <w:szCs w:val="24"/>
        </w:rPr>
        <w:t xml:space="preserve"> Heartlands practice) instead of IV to reduce chair time.</w:t>
      </w:r>
    </w:p>
    <w:p w:rsidR="00C30749" w:rsidRPr="004E0761" w:rsidRDefault="00C30749" w:rsidP="00C32798">
      <w:pPr>
        <w:spacing w:after="0" w:line="240" w:lineRule="auto"/>
        <w:rPr>
          <w:rFonts w:eastAsia="Calibri" w:cs="Times New Roman"/>
          <w:bCs/>
          <w:sz w:val="24"/>
          <w:szCs w:val="24"/>
        </w:rPr>
      </w:pPr>
    </w:p>
    <w:p w:rsidR="008356F0" w:rsidRPr="004E0761" w:rsidRDefault="008356F0" w:rsidP="00C32798">
      <w:pPr>
        <w:spacing w:after="0" w:line="240" w:lineRule="auto"/>
        <w:rPr>
          <w:rFonts w:eastAsia="Calibri" w:cs="Times New Roman"/>
          <w:bCs/>
          <w:sz w:val="24"/>
          <w:szCs w:val="24"/>
        </w:rPr>
      </w:pPr>
    </w:p>
    <w:p w:rsidR="00ED7AAB" w:rsidRPr="00AE6CD7" w:rsidRDefault="008356F0" w:rsidP="00C32798">
      <w:pPr>
        <w:spacing w:after="0" w:line="240" w:lineRule="auto"/>
        <w:rPr>
          <w:rFonts w:eastAsia="Calibri" w:cs="Times New Roman"/>
          <w:sz w:val="28"/>
          <w:szCs w:val="32"/>
        </w:rPr>
      </w:pPr>
      <w:r>
        <w:rPr>
          <w:rFonts w:eastAsia="Calibri" w:cs="Times New Roman"/>
          <w:b/>
          <w:bCs/>
          <w:sz w:val="28"/>
          <w:szCs w:val="32"/>
        </w:rPr>
        <w:t>RIC vs MAC transplants</w:t>
      </w:r>
    </w:p>
    <w:p w:rsidR="00ED7AAB" w:rsidRDefault="008356F0" w:rsidP="00C32798">
      <w:pPr>
        <w:spacing w:after="0" w:line="240" w:lineRule="auto"/>
        <w:rPr>
          <w:rFonts w:eastAsia="Calibri" w:cs="Times New Roman"/>
          <w:sz w:val="24"/>
          <w:szCs w:val="28"/>
        </w:rPr>
      </w:pPr>
      <w:r>
        <w:rPr>
          <w:rFonts w:eastAsia="Calibri" w:cs="Times New Roman"/>
          <w:sz w:val="24"/>
          <w:szCs w:val="28"/>
        </w:rPr>
        <w:t>Dr Rachel Protheroe, Consultant Haematologist, University Hospitals Bristol</w:t>
      </w:r>
    </w:p>
    <w:p w:rsidR="007479CE" w:rsidRDefault="007479CE" w:rsidP="00C32798">
      <w:pPr>
        <w:spacing w:after="0" w:line="240" w:lineRule="auto"/>
        <w:rPr>
          <w:rFonts w:eastAsia="Calibri" w:cs="Times New Roman"/>
          <w:sz w:val="24"/>
          <w:szCs w:val="28"/>
        </w:rPr>
      </w:pPr>
    </w:p>
    <w:p w:rsidR="004E0761" w:rsidRDefault="004E0761" w:rsidP="00C32798">
      <w:pPr>
        <w:spacing w:after="0" w:line="240" w:lineRule="auto"/>
        <w:rPr>
          <w:rFonts w:eastAsia="Calibri" w:cs="Times New Roman"/>
          <w:sz w:val="24"/>
          <w:szCs w:val="28"/>
        </w:rPr>
      </w:pPr>
      <w:r>
        <w:rPr>
          <w:rFonts w:eastAsia="Calibri" w:cs="Times New Roman"/>
          <w:sz w:val="24"/>
          <w:szCs w:val="28"/>
        </w:rPr>
        <w:t xml:space="preserve">Dr Protheroe provided a comprehensive overview of trial and registry data comparing outcomes after </w:t>
      </w:r>
      <w:proofErr w:type="spellStart"/>
      <w:r>
        <w:rPr>
          <w:rFonts w:eastAsia="Calibri" w:cs="Times New Roman"/>
          <w:sz w:val="24"/>
          <w:szCs w:val="28"/>
        </w:rPr>
        <w:t>myeloablative</w:t>
      </w:r>
      <w:proofErr w:type="spellEnd"/>
      <w:r>
        <w:rPr>
          <w:rFonts w:eastAsia="Calibri" w:cs="Times New Roman"/>
          <w:sz w:val="24"/>
          <w:szCs w:val="28"/>
        </w:rPr>
        <w:t xml:space="preserve"> vs reduced intensity allografts.  Registry data and earlier trials concluded that although there was an increased relapse risk post RIC, the lower TRM meant that overall outcomes were comparable.  A recent US Study (Scott et al.  J </w:t>
      </w:r>
      <w:proofErr w:type="spellStart"/>
      <w:r>
        <w:rPr>
          <w:rFonts w:eastAsia="Calibri" w:cs="Times New Roman"/>
          <w:sz w:val="24"/>
          <w:szCs w:val="28"/>
        </w:rPr>
        <w:t>Clin</w:t>
      </w:r>
      <w:proofErr w:type="spellEnd"/>
      <w:r>
        <w:rPr>
          <w:rFonts w:eastAsia="Calibri" w:cs="Times New Roman"/>
          <w:sz w:val="24"/>
          <w:szCs w:val="28"/>
        </w:rPr>
        <w:t xml:space="preserve"> </w:t>
      </w:r>
      <w:proofErr w:type="spellStart"/>
      <w:r>
        <w:rPr>
          <w:rFonts w:eastAsia="Calibri" w:cs="Times New Roman"/>
          <w:sz w:val="24"/>
          <w:szCs w:val="28"/>
        </w:rPr>
        <w:t>Oncol</w:t>
      </w:r>
      <w:proofErr w:type="spellEnd"/>
      <w:r>
        <w:rPr>
          <w:rFonts w:eastAsia="Calibri" w:cs="Times New Roman"/>
          <w:sz w:val="24"/>
          <w:szCs w:val="28"/>
        </w:rPr>
        <w:t xml:space="preserve"> 2017; 35: 1154) concluded that the outcomes </w:t>
      </w:r>
      <w:r w:rsidR="00DF6B25">
        <w:rPr>
          <w:rFonts w:eastAsia="Calibri" w:cs="Times New Roman"/>
          <w:sz w:val="24"/>
          <w:szCs w:val="28"/>
        </w:rPr>
        <w:t>after MAC were superior but the</w:t>
      </w:r>
      <w:r>
        <w:rPr>
          <w:rFonts w:eastAsia="Calibri" w:cs="Times New Roman"/>
          <w:sz w:val="24"/>
          <w:szCs w:val="28"/>
        </w:rPr>
        <w:t xml:space="preserve"> study had an unexpectedly high re</w:t>
      </w:r>
      <w:r w:rsidR="00940409">
        <w:rPr>
          <w:rFonts w:eastAsia="Calibri" w:cs="Times New Roman"/>
          <w:sz w:val="24"/>
          <w:szCs w:val="28"/>
        </w:rPr>
        <w:t>lapse r</w:t>
      </w:r>
      <w:r w:rsidR="00DF6B25">
        <w:rPr>
          <w:rFonts w:eastAsia="Calibri" w:cs="Times New Roman"/>
          <w:sz w:val="24"/>
          <w:szCs w:val="28"/>
        </w:rPr>
        <w:t>ate in the RIC arm and so there is still uncertainty as to which approach is best</w:t>
      </w:r>
      <w:r w:rsidR="00940409">
        <w:rPr>
          <w:rFonts w:eastAsia="Calibri" w:cs="Times New Roman"/>
          <w:sz w:val="24"/>
          <w:szCs w:val="28"/>
        </w:rPr>
        <w:t xml:space="preserve">.  </w:t>
      </w:r>
      <w:r w:rsidR="00DF6B25">
        <w:rPr>
          <w:rFonts w:eastAsia="Calibri" w:cs="Times New Roman"/>
          <w:sz w:val="24"/>
          <w:szCs w:val="28"/>
        </w:rPr>
        <w:t xml:space="preserve"> </w:t>
      </w:r>
      <w:r w:rsidR="00940409">
        <w:rPr>
          <w:rFonts w:eastAsia="Calibri" w:cs="Times New Roman"/>
          <w:sz w:val="24"/>
          <w:szCs w:val="28"/>
        </w:rPr>
        <w:t xml:space="preserve">There is also a challenge when comparing studies that not all MAC and RIC schedules are similarly </w:t>
      </w:r>
      <w:proofErr w:type="spellStart"/>
      <w:r w:rsidR="00940409">
        <w:rPr>
          <w:rFonts w:eastAsia="Calibri" w:cs="Times New Roman"/>
          <w:sz w:val="24"/>
          <w:szCs w:val="28"/>
        </w:rPr>
        <w:t>myelosuppressive</w:t>
      </w:r>
      <w:proofErr w:type="spellEnd"/>
      <w:r w:rsidR="00940409">
        <w:rPr>
          <w:rFonts w:eastAsia="Calibri" w:cs="Times New Roman"/>
          <w:sz w:val="24"/>
          <w:szCs w:val="28"/>
        </w:rPr>
        <w:t xml:space="preserve"> which makes comparison harder.  In relation to chemo schedules, Dr Protheroe pointed out that encouraging results have recently been reported with both </w:t>
      </w:r>
      <w:proofErr w:type="spellStart"/>
      <w:r w:rsidR="00940409">
        <w:rPr>
          <w:rFonts w:eastAsia="Calibri" w:cs="Times New Roman"/>
          <w:sz w:val="24"/>
          <w:szCs w:val="28"/>
        </w:rPr>
        <w:t>Treosulfan</w:t>
      </w:r>
      <w:proofErr w:type="spellEnd"/>
      <w:r w:rsidR="00940409">
        <w:rPr>
          <w:rFonts w:eastAsia="Calibri" w:cs="Times New Roman"/>
          <w:sz w:val="24"/>
          <w:szCs w:val="28"/>
        </w:rPr>
        <w:t xml:space="preserve"> and </w:t>
      </w:r>
      <w:proofErr w:type="spellStart"/>
      <w:r w:rsidR="00940409">
        <w:rPr>
          <w:rFonts w:eastAsia="Calibri" w:cs="Times New Roman"/>
          <w:sz w:val="24"/>
          <w:szCs w:val="28"/>
        </w:rPr>
        <w:t>Thiotepa</w:t>
      </w:r>
      <w:proofErr w:type="spellEnd"/>
      <w:r w:rsidR="00940409">
        <w:rPr>
          <w:rFonts w:eastAsia="Calibri" w:cs="Times New Roman"/>
          <w:sz w:val="24"/>
          <w:szCs w:val="28"/>
        </w:rPr>
        <w:t xml:space="preserve"> so it</w:t>
      </w:r>
      <w:r w:rsidR="00DF6B25">
        <w:rPr>
          <w:rFonts w:eastAsia="Calibri" w:cs="Times New Roman"/>
          <w:sz w:val="24"/>
          <w:szCs w:val="28"/>
        </w:rPr>
        <w:t xml:space="preserve"> is</w:t>
      </w:r>
      <w:r w:rsidR="00940409">
        <w:rPr>
          <w:rFonts w:eastAsia="Calibri" w:cs="Times New Roman"/>
          <w:sz w:val="24"/>
          <w:szCs w:val="28"/>
        </w:rPr>
        <w:t xml:space="preserve"> unclear what combination schedules should be regarded as the gold standard</w:t>
      </w:r>
      <w:r w:rsidR="00DF6B25">
        <w:rPr>
          <w:rFonts w:eastAsia="Calibri" w:cs="Times New Roman"/>
          <w:sz w:val="24"/>
          <w:szCs w:val="28"/>
        </w:rPr>
        <w:t>s</w:t>
      </w:r>
      <w:r w:rsidR="00940409">
        <w:rPr>
          <w:rFonts w:eastAsia="Calibri" w:cs="Times New Roman"/>
          <w:sz w:val="24"/>
          <w:szCs w:val="28"/>
        </w:rPr>
        <w:t>.</w:t>
      </w:r>
    </w:p>
    <w:p w:rsidR="00940409" w:rsidRDefault="00940409" w:rsidP="00C32798">
      <w:pPr>
        <w:spacing w:after="0" w:line="240" w:lineRule="auto"/>
        <w:rPr>
          <w:rFonts w:eastAsia="Calibri" w:cs="Times New Roman"/>
          <w:sz w:val="24"/>
          <w:szCs w:val="28"/>
        </w:rPr>
      </w:pPr>
    </w:p>
    <w:p w:rsidR="00940409" w:rsidRDefault="00940409" w:rsidP="00C32798">
      <w:pPr>
        <w:spacing w:after="0" w:line="240" w:lineRule="auto"/>
        <w:rPr>
          <w:rFonts w:eastAsia="Calibri" w:cs="Times New Roman"/>
          <w:sz w:val="24"/>
          <w:szCs w:val="28"/>
        </w:rPr>
      </w:pPr>
    </w:p>
    <w:p w:rsidR="00E119A4" w:rsidRDefault="008356F0" w:rsidP="00C32798">
      <w:pPr>
        <w:spacing w:after="0" w:line="240" w:lineRule="auto"/>
        <w:rPr>
          <w:rFonts w:eastAsia="Calibri" w:cs="Times New Roman"/>
          <w:b/>
          <w:bCs/>
          <w:sz w:val="28"/>
          <w:szCs w:val="32"/>
        </w:rPr>
      </w:pPr>
      <w:r>
        <w:rPr>
          <w:rFonts w:eastAsia="Calibri" w:cs="Times New Roman"/>
          <w:b/>
          <w:bCs/>
          <w:sz w:val="28"/>
          <w:szCs w:val="32"/>
        </w:rPr>
        <w:t>CMV in HSCT patients: optimal management and new developments</w:t>
      </w:r>
    </w:p>
    <w:p w:rsidR="00264E88" w:rsidRDefault="008356F0" w:rsidP="00C32798">
      <w:pPr>
        <w:spacing w:after="0" w:line="240" w:lineRule="auto"/>
        <w:rPr>
          <w:rFonts w:eastAsia="Calibri" w:cs="Times New Roman"/>
          <w:bCs/>
          <w:sz w:val="24"/>
          <w:szCs w:val="24"/>
        </w:rPr>
      </w:pPr>
      <w:r w:rsidRPr="008356F0">
        <w:rPr>
          <w:rFonts w:eastAsia="Calibri" w:cs="Times New Roman"/>
          <w:bCs/>
          <w:sz w:val="24"/>
          <w:szCs w:val="24"/>
        </w:rPr>
        <w:t xml:space="preserve">Prof Karl </w:t>
      </w:r>
      <w:proofErr w:type="spellStart"/>
      <w:r w:rsidRPr="008356F0">
        <w:rPr>
          <w:rFonts w:eastAsia="Calibri" w:cs="Times New Roman"/>
          <w:bCs/>
          <w:sz w:val="24"/>
          <w:szCs w:val="24"/>
        </w:rPr>
        <w:t>Peggs</w:t>
      </w:r>
      <w:proofErr w:type="spellEnd"/>
      <w:r w:rsidRPr="008356F0">
        <w:rPr>
          <w:rFonts w:eastAsia="Calibri" w:cs="Times New Roman"/>
          <w:bCs/>
          <w:sz w:val="24"/>
          <w:szCs w:val="24"/>
        </w:rPr>
        <w:t>, Consultant in Haematology/Transplantation, UCLH</w:t>
      </w:r>
      <w:r w:rsidR="00303216">
        <w:rPr>
          <w:rFonts w:eastAsia="Calibri" w:cs="Times New Roman"/>
          <w:bCs/>
          <w:sz w:val="24"/>
          <w:szCs w:val="24"/>
        </w:rPr>
        <w:t>.</w:t>
      </w:r>
    </w:p>
    <w:p w:rsidR="00303216" w:rsidRDefault="00303216" w:rsidP="00C32798">
      <w:pPr>
        <w:spacing w:after="0" w:line="240" w:lineRule="auto"/>
        <w:rPr>
          <w:rFonts w:eastAsia="Calibri" w:cs="Times New Roman"/>
          <w:bCs/>
          <w:sz w:val="24"/>
          <w:szCs w:val="24"/>
        </w:rPr>
      </w:pPr>
    </w:p>
    <w:p w:rsidR="00717EB1" w:rsidRDefault="00303216" w:rsidP="00C32798">
      <w:pPr>
        <w:spacing w:after="0" w:line="240" w:lineRule="auto"/>
        <w:rPr>
          <w:rFonts w:eastAsia="Calibri" w:cs="Times New Roman"/>
          <w:bCs/>
          <w:sz w:val="24"/>
          <w:szCs w:val="24"/>
        </w:rPr>
      </w:pPr>
      <w:r>
        <w:rPr>
          <w:rFonts w:eastAsia="Calibri" w:cs="Times New Roman"/>
          <w:bCs/>
          <w:sz w:val="24"/>
          <w:szCs w:val="24"/>
        </w:rPr>
        <w:t xml:space="preserve">Professor </w:t>
      </w:r>
      <w:proofErr w:type="spellStart"/>
      <w:r>
        <w:rPr>
          <w:rFonts w:eastAsia="Calibri" w:cs="Times New Roman"/>
          <w:bCs/>
          <w:sz w:val="24"/>
          <w:szCs w:val="24"/>
        </w:rPr>
        <w:t>Peggs</w:t>
      </w:r>
      <w:proofErr w:type="spellEnd"/>
      <w:r>
        <w:rPr>
          <w:rFonts w:eastAsia="Calibri" w:cs="Times New Roman"/>
          <w:bCs/>
          <w:sz w:val="24"/>
          <w:szCs w:val="24"/>
        </w:rPr>
        <w:t xml:space="preserve"> delivered an excellent overvi</w:t>
      </w:r>
      <w:r w:rsidR="005F27BE">
        <w:rPr>
          <w:rFonts w:eastAsia="Calibri" w:cs="Times New Roman"/>
          <w:bCs/>
          <w:sz w:val="24"/>
          <w:szCs w:val="24"/>
        </w:rPr>
        <w:t>ew of CMV in the setting of HSCT</w:t>
      </w:r>
      <w:r>
        <w:rPr>
          <w:rFonts w:eastAsia="Calibri" w:cs="Times New Roman"/>
          <w:bCs/>
          <w:sz w:val="24"/>
          <w:szCs w:val="24"/>
        </w:rPr>
        <w:t xml:space="preserve">, initially discussing current practice before focusing the majority of his presentation on 3 new therapies – </w:t>
      </w:r>
      <w:proofErr w:type="spellStart"/>
      <w:r>
        <w:rPr>
          <w:rFonts w:eastAsia="Calibri" w:cs="Times New Roman"/>
          <w:bCs/>
          <w:sz w:val="24"/>
          <w:szCs w:val="24"/>
        </w:rPr>
        <w:t>maribavir</w:t>
      </w:r>
      <w:proofErr w:type="spellEnd"/>
      <w:r>
        <w:rPr>
          <w:rFonts w:eastAsia="Calibri" w:cs="Times New Roman"/>
          <w:bCs/>
          <w:sz w:val="24"/>
          <w:szCs w:val="24"/>
        </w:rPr>
        <w:t xml:space="preserve">, </w:t>
      </w:r>
      <w:proofErr w:type="spellStart"/>
      <w:r>
        <w:rPr>
          <w:rFonts w:eastAsia="Calibri" w:cs="Times New Roman"/>
          <w:bCs/>
          <w:sz w:val="24"/>
          <w:szCs w:val="24"/>
        </w:rPr>
        <w:t>brincidofovir</w:t>
      </w:r>
      <w:proofErr w:type="spellEnd"/>
      <w:r>
        <w:rPr>
          <w:rFonts w:eastAsia="Calibri" w:cs="Times New Roman"/>
          <w:bCs/>
          <w:sz w:val="24"/>
          <w:szCs w:val="24"/>
        </w:rPr>
        <w:t xml:space="preserve"> and </w:t>
      </w:r>
      <w:proofErr w:type="spellStart"/>
      <w:r>
        <w:rPr>
          <w:rFonts w:eastAsia="Calibri" w:cs="Times New Roman"/>
          <w:bCs/>
          <w:sz w:val="24"/>
          <w:szCs w:val="24"/>
        </w:rPr>
        <w:t>let</w:t>
      </w:r>
      <w:r w:rsidR="00717EB1">
        <w:rPr>
          <w:rFonts w:eastAsia="Calibri" w:cs="Times New Roman"/>
          <w:bCs/>
          <w:sz w:val="24"/>
          <w:szCs w:val="24"/>
        </w:rPr>
        <w:t>ermovir</w:t>
      </w:r>
      <w:proofErr w:type="spellEnd"/>
      <w:r w:rsidR="00717EB1">
        <w:rPr>
          <w:rFonts w:eastAsia="Calibri" w:cs="Times New Roman"/>
          <w:bCs/>
          <w:sz w:val="24"/>
          <w:szCs w:val="24"/>
        </w:rPr>
        <w:t>.  Key messages:</w:t>
      </w:r>
    </w:p>
    <w:p w:rsidR="00303216" w:rsidRDefault="00717EB1" w:rsidP="00717EB1">
      <w:pPr>
        <w:pStyle w:val="ListParagraph"/>
        <w:numPr>
          <w:ilvl w:val="0"/>
          <w:numId w:val="3"/>
        </w:numPr>
        <w:spacing w:after="0" w:line="240" w:lineRule="auto"/>
        <w:rPr>
          <w:rFonts w:eastAsia="Calibri" w:cs="Times New Roman"/>
          <w:bCs/>
          <w:sz w:val="24"/>
          <w:szCs w:val="24"/>
        </w:rPr>
      </w:pPr>
      <w:r w:rsidRPr="00717EB1">
        <w:rPr>
          <w:rFonts w:eastAsia="Calibri" w:cs="Times New Roman"/>
          <w:bCs/>
          <w:sz w:val="24"/>
          <w:szCs w:val="24"/>
        </w:rPr>
        <w:t>A</w:t>
      </w:r>
      <w:r w:rsidR="004C19B4">
        <w:rPr>
          <w:rFonts w:eastAsia="Calibri" w:cs="Times New Roman"/>
          <w:bCs/>
          <w:sz w:val="24"/>
          <w:szCs w:val="24"/>
        </w:rPr>
        <w:t xml:space="preserve">lthough </w:t>
      </w:r>
      <w:proofErr w:type="spellStart"/>
      <w:r w:rsidR="004C19B4">
        <w:rPr>
          <w:rFonts w:eastAsia="Calibri" w:cs="Times New Roman"/>
          <w:bCs/>
          <w:sz w:val="24"/>
          <w:szCs w:val="24"/>
        </w:rPr>
        <w:t>mariba</w:t>
      </w:r>
      <w:r w:rsidR="00303216" w:rsidRPr="00717EB1">
        <w:rPr>
          <w:rFonts w:eastAsia="Calibri" w:cs="Times New Roman"/>
          <w:bCs/>
          <w:sz w:val="24"/>
          <w:szCs w:val="24"/>
        </w:rPr>
        <w:t>v</w:t>
      </w:r>
      <w:r w:rsidR="004C19B4">
        <w:rPr>
          <w:rFonts w:eastAsia="Calibri" w:cs="Times New Roman"/>
          <w:bCs/>
          <w:sz w:val="24"/>
          <w:szCs w:val="24"/>
        </w:rPr>
        <w:t>i</w:t>
      </w:r>
      <w:r w:rsidR="00303216" w:rsidRPr="00717EB1">
        <w:rPr>
          <w:rFonts w:eastAsia="Calibri" w:cs="Times New Roman"/>
          <w:bCs/>
          <w:sz w:val="24"/>
          <w:szCs w:val="24"/>
        </w:rPr>
        <w:t>r</w:t>
      </w:r>
      <w:proofErr w:type="spellEnd"/>
      <w:r w:rsidR="00303216" w:rsidRPr="00717EB1">
        <w:rPr>
          <w:rFonts w:eastAsia="Calibri" w:cs="Times New Roman"/>
          <w:bCs/>
          <w:sz w:val="24"/>
          <w:szCs w:val="24"/>
        </w:rPr>
        <w:t xml:space="preserve"> had failed to live up to in</w:t>
      </w:r>
      <w:r>
        <w:rPr>
          <w:rFonts w:eastAsia="Calibri" w:cs="Times New Roman"/>
          <w:bCs/>
          <w:sz w:val="24"/>
          <w:szCs w:val="24"/>
        </w:rPr>
        <w:t>i</w:t>
      </w:r>
      <w:r w:rsidR="00303216" w:rsidRPr="00717EB1">
        <w:rPr>
          <w:rFonts w:eastAsia="Calibri" w:cs="Times New Roman"/>
          <w:bCs/>
          <w:sz w:val="24"/>
          <w:szCs w:val="24"/>
        </w:rPr>
        <w:t>tial expectations as a prophylactic</w:t>
      </w:r>
      <w:r>
        <w:rPr>
          <w:rFonts w:eastAsia="Calibri" w:cs="Times New Roman"/>
          <w:bCs/>
          <w:sz w:val="24"/>
          <w:szCs w:val="24"/>
        </w:rPr>
        <w:t xml:space="preserve"> agent, pre-em</w:t>
      </w:r>
      <w:r w:rsidR="00303216" w:rsidRPr="00717EB1">
        <w:rPr>
          <w:rFonts w:eastAsia="Calibri" w:cs="Times New Roman"/>
          <w:bCs/>
          <w:sz w:val="24"/>
          <w:szCs w:val="24"/>
        </w:rPr>
        <w:t>p</w:t>
      </w:r>
      <w:r>
        <w:rPr>
          <w:rFonts w:eastAsia="Calibri" w:cs="Times New Roman"/>
          <w:bCs/>
          <w:sz w:val="24"/>
          <w:szCs w:val="24"/>
        </w:rPr>
        <w:t>tive data suggested c</w:t>
      </w:r>
      <w:r w:rsidR="00303216" w:rsidRPr="00717EB1">
        <w:rPr>
          <w:rFonts w:eastAsia="Calibri" w:cs="Times New Roman"/>
          <w:bCs/>
          <w:sz w:val="24"/>
          <w:szCs w:val="24"/>
        </w:rPr>
        <w:t xml:space="preserve">omparable efficacy to </w:t>
      </w:r>
      <w:proofErr w:type="spellStart"/>
      <w:r w:rsidR="00303216" w:rsidRPr="00717EB1">
        <w:rPr>
          <w:rFonts w:eastAsia="Calibri" w:cs="Times New Roman"/>
          <w:bCs/>
          <w:sz w:val="24"/>
          <w:szCs w:val="24"/>
        </w:rPr>
        <w:t>valganciclovir</w:t>
      </w:r>
      <w:proofErr w:type="spellEnd"/>
      <w:r w:rsidR="00303216" w:rsidRPr="00717EB1">
        <w:rPr>
          <w:rFonts w:eastAsia="Calibri" w:cs="Times New Roman"/>
          <w:bCs/>
          <w:sz w:val="24"/>
          <w:szCs w:val="24"/>
        </w:rPr>
        <w:t xml:space="preserve"> with an acceptable toxicity profile</w:t>
      </w:r>
      <w:r w:rsidR="005F27BE">
        <w:rPr>
          <w:rFonts w:eastAsia="Calibri" w:cs="Times New Roman"/>
          <w:bCs/>
          <w:sz w:val="24"/>
          <w:szCs w:val="24"/>
        </w:rPr>
        <w:t>.</w:t>
      </w:r>
    </w:p>
    <w:p w:rsidR="00717EB1" w:rsidRDefault="00717EB1" w:rsidP="00717EB1">
      <w:pPr>
        <w:pStyle w:val="ListParagraph"/>
        <w:numPr>
          <w:ilvl w:val="0"/>
          <w:numId w:val="3"/>
        </w:numPr>
        <w:spacing w:after="0" w:line="240" w:lineRule="auto"/>
        <w:rPr>
          <w:rFonts w:eastAsia="Calibri" w:cs="Times New Roman"/>
          <w:bCs/>
          <w:sz w:val="24"/>
          <w:szCs w:val="24"/>
        </w:rPr>
      </w:pPr>
      <w:r>
        <w:rPr>
          <w:rFonts w:eastAsia="Calibri" w:cs="Times New Roman"/>
          <w:bCs/>
          <w:sz w:val="24"/>
          <w:szCs w:val="24"/>
        </w:rPr>
        <w:t xml:space="preserve">Oral </w:t>
      </w:r>
      <w:proofErr w:type="spellStart"/>
      <w:r>
        <w:rPr>
          <w:rFonts w:eastAsia="Calibri" w:cs="Times New Roman"/>
          <w:bCs/>
          <w:sz w:val="24"/>
          <w:szCs w:val="24"/>
        </w:rPr>
        <w:t>brincido</w:t>
      </w:r>
      <w:r w:rsidR="004C19B4">
        <w:rPr>
          <w:rFonts w:eastAsia="Calibri" w:cs="Times New Roman"/>
          <w:bCs/>
          <w:sz w:val="24"/>
          <w:szCs w:val="24"/>
        </w:rPr>
        <w:t>fo</w:t>
      </w:r>
      <w:r>
        <w:rPr>
          <w:rFonts w:eastAsia="Calibri" w:cs="Times New Roman"/>
          <w:bCs/>
          <w:sz w:val="24"/>
          <w:szCs w:val="24"/>
        </w:rPr>
        <w:t>vir</w:t>
      </w:r>
      <w:proofErr w:type="spellEnd"/>
      <w:r>
        <w:rPr>
          <w:rFonts w:eastAsia="Calibri" w:cs="Times New Roman"/>
          <w:bCs/>
          <w:sz w:val="24"/>
          <w:szCs w:val="24"/>
        </w:rPr>
        <w:t xml:space="preserve"> is associated with significant GI toxicity but an IV formulation may be better tolerated.  Data as prophylaxis vs CMV disappointing but interest in use vs. adenovirus</w:t>
      </w:r>
      <w:r w:rsidR="005F27BE">
        <w:rPr>
          <w:rFonts w:eastAsia="Calibri" w:cs="Times New Roman"/>
          <w:bCs/>
          <w:sz w:val="24"/>
          <w:szCs w:val="24"/>
        </w:rPr>
        <w:t>.</w:t>
      </w:r>
    </w:p>
    <w:p w:rsidR="00717EB1" w:rsidRPr="00717EB1" w:rsidRDefault="00717EB1" w:rsidP="00717EB1">
      <w:pPr>
        <w:pStyle w:val="ListParagraph"/>
        <w:numPr>
          <w:ilvl w:val="0"/>
          <w:numId w:val="3"/>
        </w:numPr>
        <w:spacing w:after="0" w:line="240" w:lineRule="auto"/>
        <w:rPr>
          <w:rFonts w:eastAsia="Calibri" w:cs="Times New Roman"/>
          <w:bCs/>
          <w:sz w:val="24"/>
          <w:szCs w:val="24"/>
        </w:rPr>
      </w:pPr>
      <w:proofErr w:type="spellStart"/>
      <w:r>
        <w:rPr>
          <w:rFonts w:eastAsia="Calibri" w:cs="Times New Roman"/>
          <w:bCs/>
          <w:sz w:val="24"/>
          <w:szCs w:val="24"/>
        </w:rPr>
        <w:t>Letermovir</w:t>
      </w:r>
      <w:proofErr w:type="spellEnd"/>
      <w:r>
        <w:rPr>
          <w:rFonts w:eastAsia="Calibri" w:cs="Times New Roman"/>
          <w:bCs/>
          <w:sz w:val="24"/>
          <w:szCs w:val="24"/>
        </w:rPr>
        <w:t xml:space="preserve"> appears to be highly efficacious as a prophylactic oral agent and may even offer a survival benefit.  All eyes are on NICE who </w:t>
      </w:r>
      <w:proofErr w:type="gramStart"/>
      <w:r>
        <w:rPr>
          <w:rFonts w:eastAsia="Calibri" w:cs="Times New Roman"/>
          <w:bCs/>
          <w:sz w:val="24"/>
          <w:szCs w:val="24"/>
        </w:rPr>
        <w:t>are due to make a decision</w:t>
      </w:r>
      <w:proofErr w:type="gramEnd"/>
      <w:r>
        <w:rPr>
          <w:rFonts w:eastAsia="Calibri" w:cs="Times New Roman"/>
          <w:bCs/>
          <w:sz w:val="24"/>
          <w:szCs w:val="24"/>
        </w:rPr>
        <w:t xml:space="preserve"> imminently</w:t>
      </w:r>
      <w:r w:rsidR="005F27BE">
        <w:rPr>
          <w:rFonts w:eastAsia="Calibri" w:cs="Times New Roman"/>
          <w:bCs/>
          <w:sz w:val="24"/>
          <w:szCs w:val="24"/>
        </w:rPr>
        <w:t>.</w:t>
      </w:r>
    </w:p>
    <w:p w:rsidR="00264E88" w:rsidRDefault="00264E88" w:rsidP="00C32798">
      <w:pPr>
        <w:spacing w:after="0" w:line="240" w:lineRule="auto"/>
        <w:rPr>
          <w:rFonts w:eastAsia="Calibri" w:cs="Times New Roman"/>
          <w:b/>
          <w:bCs/>
          <w:sz w:val="28"/>
          <w:szCs w:val="32"/>
        </w:rPr>
      </w:pPr>
      <w:bookmarkStart w:id="0" w:name="_GoBack"/>
      <w:bookmarkEnd w:id="0"/>
    </w:p>
    <w:p w:rsidR="006D0837" w:rsidRDefault="006D0837" w:rsidP="00C32798">
      <w:pPr>
        <w:spacing w:after="0" w:line="240" w:lineRule="auto"/>
        <w:rPr>
          <w:rFonts w:eastAsia="Calibri" w:cs="Times New Roman"/>
          <w:b/>
          <w:bCs/>
          <w:sz w:val="28"/>
          <w:szCs w:val="32"/>
        </w:rPr>
      </w:pPr>
    </w:p>
    <w:p w:rsidR="00264E88" w:rsidRPr="006D0837" w:rsidRDefault="005F27BE" w:rsidP="00C32798">
      <w:pPr>
        <w:spacing w:after="0" w:line="240" w:lineRule="auto"/>
        <w:rPr>
          <w:rFonts w:eastAsia="Calibri" w:cs="Times New Roman"/>
          <w:b/>
          <w:bCs/>
          <w:sz w:val="28"/>
          <w:szCs w:val="28"/>
        </w:rPr>
      </w:pPr>
      <w:r w:rsidRPr="006D0837">
        <w:rPr>
          <w:rFonts w:eastAsia="Calibri" w:cs="Times New Roman"/>
          <w:b/>
          <w:bCs/>
          <w:sz w:val="28"/>
          <w:szCs w:val="28"/>
        </w:rPr>
        <w:t>Future plans</w:t>
      </w:r>
    </w:p>
    <w:p w:rsidR="00E119A4" w:rsidRPr="00DF6B25" w:rsidRDefault="005F27BE" w:rsidP="00DF6B25">
      <w:pPr>
        <w:spacing w:after="0" w:line="240" w:lineRule="auto"/>
        <w:rPr>
          <w:rFonts w:eastAsia="Calibri" w:cs="Times New Roman"/>
          <w:bCs/>
          <w:sz w:val="24"/>
          <w:szCs w:val="24"/>
        </w:rPr>
      </w:pPr>
      <w:r>
        <w:rPr>
          <w:rFonts w:eastAsia="Calibri" w:cs="Times New Roman"/>
          <w:bCs/>
          <w:sz w:val="24"/>
          <w:szCs w:val="24"/>
        </w:rPr>
        <w:t>It i</w:t>
      </w:r>
      <w:r w:rsidRPr="005F27BE">
        <w:rPr>
          <w:rFonts w:eastAsia="Calibri" w:cs="Times New Roman"/>
          <w:bCs/>
          <w:sz w:val="24"/>
          <w:szCs w:val="24"/>
        </w:rPr>
        <w:t>s hoped to hold a further meeting in November/December.  Part of the agenda will be set aside to discuss future plans for the group as the current sponsorship arrangement with Jazz will run out at the end of 2018 and there are a number of options to consider for how</w:t>
      </w:r>
      <w:r>
        <w:rPr>
          <w:rFonts w:eastAsia="Calibri" w:cs="Times New Roman"/>
          <w:bCs/>
          <w:sz w:val="24"/>
          <w:szCs w:val="24"/>
        </w:rPr>
        <w:t xml:space="preserve"> the group could best</w:t>
      </w:r>
      <w:r w:rsidR="00DF6B25">
        <w:rPr>
          <w:rFonts w:eastAsia="Calibri" w:cs="Times New Roman"/>
          <w:bCs/>
          <w:sz w:val="24"/>
          <w:szCs w:val="24"/>
        </w:rPr>
        <w:t xml:space="preserve"> evolve.</w:t>
      </w:r>
    </w:p>
    <w:p w:rsidR="00E119A4" w:rsidRDefault="00E119A4"/>
    <w:p w:rsidR="00E119A4" w:rsidRPr="00E119A4" w:rsidRDefault="00E119A4">
      <w:pPr>
        <w:rPr>
          <w:i/>
          <w:sz w:val="20"/>
          <w:szCs w:val="20"/>
        </w:rPr>
      </w:pPr>
      <w:r w:rsidRPr="00E119A4">
        <w:rPr>
          <w:i/>
          <w:sz w:val="20"/>
          <w:szCs w:val="20"/>
        </w:rPr>
        <w:t>Report writt</w:t>
      </w:r>
      <w:r w:rsidR="008356F0">
        <w:rPr>
          <w:i/>
          <w:sz w:val="20"/>
          <w:szCs w:val="20"/>
        </w:rPr>
        <w:t>en by Nick Duncan, June 2018</w:t>
      </w:r>
    </w:p>
    <w:sectPr w:rsidR="00E119A4" w:rsidRPr="00E119A4" w:rsidSect="004C79FD">
      <w:footerReference w:type="default" r:id="rId12"/>
      <w:pgSz w:w="11906" w:h="16838"/>
      <w:pgMar w:top="1135" w:right="1133"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C6" w:rsidRDefault="00D07AC6" w:rsidP="00BB6BCD">
      <w:pPr>
        <w:spacing w:after="0" w:line="240" w:lineRule="auto"/>
      </w:pPr>
      <w:r>
        <w:separator/>
      </w:r>
    </w:p>
  </w:endnote>
  <w:endnote w:type="continuationSeparator" w:id="0">
    <w:p w:rsidR="00D07AC6" w:rsidRDefault="00D07AC6" w:rsidP="00BB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04636"/>
      <w:docPartObj>
        <w:docPartGallery w:val="Page Numbers (Bottom of Page)"/>
        <w:docPartUnique/>
      </w:docPartObj>
    </w:sdtPr>
    <w:sdtEndPr>
      <w:rPr>
        <w:noProof/>
      </w:rPr>
    </w:sdtEndPr>
    <w:sdtContent>
      <w:p w:rsidR="00D07AC6" w:rsidRDefault="00D07AC6">
        <w:pPr>
          <w:pStyle w:val="Footer"/>
          <w:jc w:val="right"/>
        </w:pPr>
        <w:r>
          <w:fldChar w:fldCharType="begin"/>
        </w:r>
        <w:r>
          <w:instrText xml:space="preserve"> PAGE   \* MERGEFORMAT </w:instrText>
        </w:r>
        <w:r>
          <w:fldChar w:fldCharType="separate"/>
        </w:r>
        <w:r w:rsidR="004C19B4">
          <w:rPr>
            <w:noProof/>
          </w:rPr>
          <w:t>1</w:t>
        </w:r>
        <w:r>
          <w:rPr>
            <w:noProof/>
          </w:rPr>
          <w:fldChar w:fldCharType="end"/>
        </w:r>
      </w:p>
    </w:sdtContent>
  </w:sdt>
  <w:p w:rsidR="00D07AC6" w:rsidRDefault="00D07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C6" w:rsidRDefault="00D07AC6" w:rsidP="00BB6BCD">
      <w:pPr>
        <w:spacing w:after="0" w:line="240" w:lineRule="auto"/>
      </w:pPr>
      <w:r>
        <w:separator/>
      </w:r>
    </w:p>
  </w:footnote>
  <w:footnote w:type="continuationSeparator" w:id="0">
    <w:p w:rsidR="00D07AC6" w:rsidRDefault="00D07AC6" w:rsidP="00BB6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79DB"/>
    <w:multiLevelType w:val="hybridMultilevel"/>
    <w:tmpl w:val="3A78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442E5D"/>
    <w:multiLevelType w:val="hybridMultilevel"/>
    <w:tmpl w:val="D5466CF6"/>
    <w:lvl w:ilvl="0" w:tplc="571C4544">
      <w:start w:val="7"/>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67341241"/>
    <w:multiLevelType w:val="hybridMultilevel"/>
    <w:tmpl w:val="DCC8897E"/>
    <w:lvl w:ilvl="0" w:tplc="4148DE38">
      <w:start w:val="1"/>
      <w:numFmt w:val="bullet"/>
      <w:lvlText w:val="–"/>
      <w:lvlJc w:val="left"/>
      <w:pPr>
        <w:tabs>
          <w:tab w:val="num" w:pos="720"/>
        </w:tabs>
        <w:ind w:left="720" w:hanging="360"/>
      </w:pPr>
      <w:rPr>
        <w:rFonts w:ascii="Times New Roman" w:hAnsi="Times New Roman" w:hint="default"/>
      </w:rPr>
    </w:lvl>
    <w:lvl w:ilvl="1" w:tplc="863AF65C">
      <w:start w:val="1"/>
      <w:numFmt w:val="bullet"/>
      <w:lvlText w:val="–"/>
      <w:lvlJc w:val="left"/>
      <w:pPr>
        <w:tabs>
          <w:tab w:val="num" w:pos="1440"/>
        </w:tabs>
        <w:ind w:left="1440" w:hanging="360"/>
      </w:pPr>
      <w:rPr>
        <w:rFonts w:ascii="Times New Roman" w:hAnsi="Times New Roman" w:hint="default"/>
      </w:rPr>
    </w:lvl>
    <w:lvl w:ilvl="2" w:tplc="EA6A9268" w:tentative="1">
      <w:start w:val="1"/>
      <w:numFmt w:val="bullet"/>
      <w:lvlText w:val="–"/>
      <w:lvlJc w:val="left"/>
      <w:pPr>
        <w:tabs>
          <w:tab w:val="num" w:pos="2160"/>
        </w:tabs>
        <w:ind w:left="2160" w:hanging="360"/>
      </w:pPr>
      <w:rPr>
        <w:rFonts w:ascii="Times New Roman" w:hAnsi="Times New Roman" w:hint="default"/>
      </w:rPr>
    </w:lvl>
    <w:lvl w:ilvl="3" w:tplc="449C946C" w:tentative="1">
      <w:start w:val="1"/>
      <w:numFmt w:val="bullet"/>
      <w:lvlText w:val="–"/>
      <w:lvlJc w:val="left"/>
      <w:pPr>
        <w:tabs>
          <w:tab w:val="num" w:pos="2880"/>
        </w:tabs>
        <w:ind w:left="2880" w:hanging="360"/>
      </w:pPr>
      <w:rPr>
        <w:rFonts w:ascii="Times New Roman" w:hAnsi="Times New Roman" w:hint="default"/>
      </w:rPr>
    </w:lvl>
    <w:lvl w:ilvl="4" w:tplc="836E9606" w:tentative="1">
      <w:start w:val="1"/>
      <w:numFmt w:val="bullet"/>
      <w:lvlText w:val="–"/>
      <w:lvlJc w:val="left"/>
      <w:pPr>
        <w:tabs>
          <w:tab w:val="num" w:pos="3600"/>
        </w:tabs>
        <w:ind w:left="3600" w:hanging="360"/>
      </w:pPr>
      <w:rPr>
        <w:rFonts w:ascii="Times New Roman" w:hAnsi="Times New Roman" w:hint="default"/>
      </w:rPr>
    </w:lvl>
    <w:lvl w:ilvl="5" w:tplc="F69A385C" w:tentative="1">
      <w:start w:val="1"/>
      <w:numFmt w:val="bullet"/>
      <w:lvlText w:val="–"/>
      <w:lvlJc w:val="left"/>
      <w:pPr>
        <w:tabs>
          <w:tab w:val="num" w:pos="4320"/>
        </w:tabs>
        <w:ind w:left="4320" w:hanging="360"/>
      </w:pPr>
      <w:rPr>
        <w:rFonts w:ascii="Times New Roman" w:hAnsi="Times New Roman" w:hint="default"/>
      </w:rPr>
    </w:lvl>
    <w:lvl w:ilvl="6" w:tplc="802A4D28" w:tentative="1">
      <w:start w:val="1"/>
      <w:numFmt w:val="bullet"/>
      <w:lvlText w:val="–"/>
      <w:lvlJc w:val="left"/>
      <w:pPr>
        <w:tabs>
          <w:tab w:val="num" w:pos="5040"/>
        </w:tabs>
        <w:ind w:left="5040" w:hanging="360"/>
      </w:pPr>
      <w:rPr>
        <w:rFonts w:ascii="Times New Roman" w:hAnsi="Times New Roman" w:hint="default"/>
      </w:rPr>
    </w:lvl>
    <w:lvl w:ilvl="7" w:tplc="8FD45B3A" w:tentative="1">
      <w:start w:val="1"/>
      <w:numFmt w:val="bullet"/>
      <w:lvlText w:val="–"/>
      <w:lvlJc w:val="left"/>
      <w:pPr>
        <w:tabs>
          <w:tab w:val="num" w:pos="5760"/>
        </w:tabs>
        <w:ind w:left="5760" w:hanging="360"/>
      </w:pPr>
      <w:rPr>
        <w:rFonts w:ascii="Times New Roman" w:hAnsi="Times New Roman" w:hint="default"/>
      </w:rPr>
    </w:lvl>
    <w:lvl w:ilvl="8" w:tplc="392A48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6C69351E"/>
    <w:multiLevelType w:val="hybridMultilevel"/>
    <w:tmpl w:val="A6DE1166"/>
    <w:lvl w:ilvl="0" w:tplc="D856104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C5"/>
    <w:rsid w:val="000604D7"/>
    <w:rsid w:val="00074E84"/>
    <w:rsid w:val="000D7248"/>
    <w:rsid w:val="000F506A"/>
    <w:rsid w:val="00115E7A"/>
    <w:rsid w:val="00151F17"/>
    <w:rsid w:val="00161140"/>
    <w:rsid w:val="001651C8"/>
    <w:rsid w:val="00170D10"/>
    <w:rsid w:val="00201651"/>
    <w:rsid w:val="00264E88"/>
    <w:rsid w:val="00303216"/>
    <w:rsid w:val="00347BC4"/>
    <w:rsid w:val="003C12C5"/>
    <w:rsid w:val="00497BE1"/>
    <w:rsid w:val="004A3649"/>
    <w:rsid w:val="004C19B4"/>
    <w:rsid w:val="004C79FD"/>
    <w:rsid w:val="004E0761"/>
    <w:rsid w:val="005C16B7"/>
    <w:rsid w:val="005F27BE"/>
    <w:rsid w:val="006642E3"/>
    <w:rsid w:val="006D0837"/>
    <w:rsid w:val="00717EB1"/>
    <w:rsid w:val="007479CE"/>
    <w:rsid w:val="0076553E"/>
    <w:rsid w:val="007D5EEA"/>
    <w:rsid w:val="007F1D70"/>
    <w:rsid w:val="008356F0"/>
    <w:rsid w:val="008523EB"/>
    <w:rsid w:val="008E422E"/>
    <w:rsid w:val="008F263E"/>
    <w:rsid w:val="00940409"/>
    <w:rsid w:val="00A74BB8"/>
    <w:rsid w:val="00A77419"/>
    <w:rsid w:val="00AE19AA"/>
    <w:rsid w:val="00AE69B8"/>
    <w:rsid w:val="00BB6BCD"/>
    <w:rsid w:val="00BD2D73"/>
    <w:rsid w:val="00C30749"/>
    <w:rsid w:val="00C32798"/>
    <w:rsid w:val="00C770BB"/>
    <w:rsid w:val="00D07AC6"/>
    <w:rsid w:val="00D855AD"/>
    <w:rsid w:val="00DF6B25"/>
    <w:rsid w:val="00E119A4"/>
    <w:rsid w:val="00E41012"/>
    <w:rsid w:val="00E70862"/>
    <w:rsid w:val="00E75A55"/>
    <w:rsid w:val="00EC1FED"/>
    <w:rsid w:val="00ED7AAB"/>
    <w:rsid w:val="00F7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C5"/>
    <w:rPr>
      <w:rFonts w:ascii="Tahoma" w:hAnsi="Tahoma" w:cs="Tahoma"/>
      <w:sz w:val="16"/>
      <w:szCs w:val="16"/>
    </w:rPr>
  </w:style>
  <w:style w:type="paragraph" w:styleId="ListParagraph">
    <w:name w:val="List Paragraph"/>
    <w:basedOn w:val="Normal"/>
    <w:uiPriority w:val="34"/>
    <w:qFormat/>
    <w:rsid w:val="00C32798"/>
    <w:pPr>
      <w:ind w:left="720"/>
      <w:contextualSpacing/>
    </w:pPr>
  </w:style>
  <w:style w:type="table" w:styleId="TableGrid">
    <w:name w:val="Table Grid"/>
    <w:basedOn w:val="TableNormal"/>
    <w:uiPriority w:val="59"/>
    <w:rsid w:val="0074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A55"/>
    <w:rPr>
      <w:color w:val="0000FF" w:themeColor="hyperlink"/>
      <w:u w:val="single"/>
    </w:rPr>
  </w:style>
  <w:style w:type="paragraph" w:styleId="Header">
    <w:name w:val="header"/>
    <w:basedOn w:val="Normal"/>
    <w:link w:val="HeaderChar"/>
    <w:uiPriority w:val="99"/>
    <w:unhideWhenUsed/>
    <w:rsid w:val="00BB6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BCD"/>
  </w:style>
  <w:style w:type="paragraph" w:styleId="Footer">
    <w:name w:val="footer"/>
    <w:basedOn w:val="Normal"/>
    <w:link w:val="FooterChar"/>
    <w:uiPriority w:val="99"/>
    <w:unhideWhenUsed/>
    <w:rsid w:val="00BB6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BCD"/>
  </w:style>
  <w:style w:type="character" w:customStyle="1" w:styleId="labs-docsum-citation-part">
    <w:name w:val="labs-docsum-citation-part"/>
    <w:basedOn w:val="DefaultParagraphFont"/>
    <w:rsid w:val="00DF6B25"/>
  </w:style>
  <w:style w:type="character" w:customStyle="1" w:styleId="Heading1Char">
    <w:name w:val="Heading 1 Char"/>
    <w:basedOn w:val="DefaultParagraphFont"/>
    <w:link w:val="Heading1"/>
    <w:uiPriority w:val="9"/>
    <w:rsid w:val="00DF6B25"/>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B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C5"/>
    <w:rPr>
      <w:rFonts w:ascii="Tahoma" w:hAnsi="Tahoma" w:cs="Tahoma"/>
      <w:sz w:val="16"/>
      <w:szCs w:val="16"/>
    </w:rPr>
  </w:style>
  <w:style w:type="paragraph" w:styleId="ListParagraph">
    <w:name w:val="List Paragraph"/>
    <w:basedOn w:val="Normal"/>
    <w:uiPriority w:val="34"/>
    <w:qFormat/>
    <w:rsid w:val="00C32798"/>
    <w:pPr>
      <w:ind w:left="720"/>
      <w:contextualSpacing/>
    </w:pPr>
  </w:style>
  <w:style w:type="table" w:styleId="TableGrid">
    <w:name w:val="Table Grid"/>
    <w:basedOn w:val="TableNormal"/>
    <w:uiPriority w:val="59"/>
    <w:rsid w:val="0074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A55"/>
    <w:rPr>
      <w:color w:val="0000FF" w:themeColor="hyperlink"/>
      <w:u w:val="single"/>
    </w:rPr>
  </w:style>
  <w:style w:type="paragraph" w:styleId="Header">
    <w:name w:val="header"/>
    <w:basedOn w:val="Normal"/>
    <w:link w:val="HeaderChar"/>
    <w:uiPriority w:val="99"/>
    <w:unhideWhenUsed/>
    <w:rsid w:val="00BB6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BCD"/>
  </w:style>
  <w:style w:type="paragraph" w:styleId="Footer">
    <w:name w:val="footer"/>
    <w:basedOn w:val="Normal"/>
    <w:link w:val="FooterChar"/>
    <w:uiPriority w:val="99"/>
    <w:unhideWhenUsed/>
    <w:rsid w:val="00BB6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BCD"/>
  </w:style>
  <w:style w:type="character" w:customStyle="1" w:styleId="labs-docsum-citation-part">
    <w:name w:val="labs-docsum-citation-part"/>
    <w:basedOn w:val="DefaultParagraphFont"/>
    <w:rsid w:val="00DF6B25"/>
  </w:style>
  <w:style w:type="character" w:customStyle="1" w:styleId="Heading1Char">
    <w:name w:val="Heading 1 Char"/>
    <w:basedOn w:val="DefaultParagraphFont"/>
    <w:link w:val="Heading1"/>
    <w:uiPriority w:val="9"/>
    <w:rsid w:val="00DF6B2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979">
      <w:bodyDiv w:val="1"/>
      <w:marLeft w:val="0"/>
      <w:marRight w:val="0"/>
      <w:marTop w:val="0"/>
      <w:marBottom w:val="0"/>
      <w:divBdr>
        <w:top w:val="none" w:sz="0" w:space="0" w:color="auto"/>
        <w:left w:val="none" w:sz="0" w:space="0" w:color="auto"/>
        <w:bottom w:val="none" w:sz="0" w:space="0" w:color="auto"/>
        <w:right w:val="none" w:sz="0" w:space="0" w:color="auto"/>
      </w:divBdr>
    </w:div>
    <w:div w:id="801116458">
      <w:bodyDiv w:val="1"/>
      <w:marLeft w:val="0"/>
      <w:marRight w:val="0"/>
      <w:marTop w:val="0"/>
      <w:marBottom w:val="0"/>
      <w:divBdr>
        <w:top w:val="none" w:sz="0" w:space="0" w:color="auto"/>
        <w:left w:val="none" w:sz="0" w:space="0" w:color="auto"/>
        <w:bottom w:val="none" w:sz="0" w:space="0" w:color="auto"/>
        <w:right w:val="none" w:sz="0" w:space="0" w:color="auto"/>
      </w:divBdr>
    </w:div>
    <w:div w:id="1171405343">
      <w:bodyDiv w:val="1"/>
      <w:marLeft w:val="0"/>
      <w:marRight w:val="0"/>
      <w:marTop w:val="0"/>
      <w:marBottom w:val="0"/>
      <w:divBdr>
        <w:top w:val="none" w:sz="0" w:space="0" w:color="auto"/>
        <w:left w:val="none" w:sz="0" w:space="0" w:color="auto"/>
        <w:bottom w:val="none" w:sz="0" w:space="0" w:color="auto"/>
        <w:right w:val="none" w:sz="0" w:space="0" w:color="auto"/>
      </w:divBdr>
      <w:divsChild>
        <w:div w:id="45035867">
          <w:marLeft w:val="1166"/>
          <w:marRight w:val="0"/>
          <w:marTop w:val="115"/>
          <w:marBottom w:val="0"/>
          <w:divBdr>
            <w:top w:val="none" w:sz="0" w:space="0" w:color="auto"/>
            <w:left w:val="none" w:sz="0" w:space="0" w:color="auto"/>
            <w:bottom w:val="none" w:sz="0" w:space="0" w:color="auto"/>
            <w:right w:val="none" w:sz="0" w:space="0" w:color="auto"/>
          </w:divBdr>
        </w:div>
        <w:div w:id="846751680">
          <w:marLeft w:val="1166"/>
          <w:marRight w:val="0"/>
          <w:marTop w:val="115"/>
          <w:marBottom w:val="0"/>
          <w:divBdr>
            <w:top w:val="none" w:sz="0" w:space="0" w:color="auto"/>
            <w:left w:val="none" w:sz="0" w:space="0" w:color="auto"/>
            <w:bottom w:val="none" w:sz="0" w:space="0" w:color="auto"/>
            <w:right w:val="none" w:sz="0" w:space="0" w:color="auto"/>
          </w:divBdr>
        </w:div>
      </w:divsChild>
    </w:div>
    <w:div w:id="2079672773">
      <w:bodyDiv w:val="1"/>
      <w:marLeft w:val="0"/>
      <w:marRight w:val="0"/>
      <w:marTop w:val="0"/>
      <w:marBottom w:val="0"/>
      <w:divBdr>
        <w:top w:val="none" w:sz="0" w:space="0" w:color="auto"/>
        <w:left w:val="none" w:sz="0" w:space="0" w:color="auto"/>
        <w:bottom w:val="none" w:sz="0" w:space="0" w:color="auto"/>
        <w:right w:val="none" w:sz="0" w:space="0" w:color="auto"/>
      </w:divBdr>
      <w:divsChild>
        <w:div w:id="1232739364">
          <w:marLeft w:val="1166"/>
          <w:marRight w:val="0"/>
          <w:marTop w:val="115"/>
          <w:marBottom w:val="0"/>
          <w:divBdr>
            <w:top w:val="none" w:sz="0" w:space="0" w:color="auto"/>
            <w:left w:val="none" w:sz="0" w:space="0" w:color="auto"/>
            <w:bottom w:val="none" w:sz="0" w:space="0" w:color="auto"/>
            <w:right w:val="none" w:sz="0" w:space="0" w:color="auto"/>
          </w:divBdr>
        </w:div>
        <w:div w:id="2544755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Hill%20JA%5BAuthor%5D&amp;cauthor=true&amp;cauthor_uid=29038338" TargetMode="External"/><Relationship Id="rId5" Type="http://schemas.openxmlformats.org/officeDocument/2006/relationships/settings" Target="settings.xml"/><Relationship Id="rId10" Type="http://schemas.openxmlformats.org/officeDocument/2006/relationships/hyperlink" Target="https://www.ncbi.nlm.nih.gov/pubmed/27207799" TargetMode="External"/><Relationship Id="rId4" Type="http://schemas.microsoft.com/office/2007/relationships/stylesWithEffects" Target="stylesWithEffects.xml"/><Relationship Id="rId9" Type="http://schemas.openxmlformats.org/officeDocument/2006/relationships/hyperlink" Target="https://www.ncbi.nlm.nih.gov/pubmed/?term=Brudno%20JN%5BAuthor%5D&amp;cauthor=true&amp;cauthor_uid=272077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690B-7EAD-4E04-8DDC-184552E0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34AF7E76</Template>
  <TotalTime>82</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Duncan</dc:creator>
  <cp:lastModifiedBy>Nick Duncan</cp:lastModifiedBy>
  <cp:revision>9</cp:revision>
  <cp:lastPrinted>2017-12-11T17:11:00Z</cp:lastPrinted>
  <dcterms:created xsi:type="dcterms:W3CDTF">2018-06-15T11:44:00Z</dcterms:created>
  <dcterms:modified xsi:type="dcterms:W3CDTF">2018-06-19T09:54:00Z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706746543</vt:i4>
  </property>
</Properties>
</file>